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1BD" w:rsidRDefault="004A21BD">
      <w:pPr>
        <w:spacing w:after="0" w:line="240" w:lineRule="auto"/>
        <w:rPr>
          <w:rFonts w:ascii="Arial" w:eastAsia="Arial" w:hAnsi="Arial" w:cs="Arial"/>
          <w:b/>
          <w:sz w:val="18"/>
          <w:szCs w:val="18"/>
        </w:rPr>
      </w:pPr>
    </w:p>
    <w:p w:rsidR="004A21BD" w:rsidRDefault="004A21BD">
      <w:pPr>
        <w:spacing w:after="0" w:line="240" w:lineRule="auto"/>
        <w:rPr>
          <w:b/>
          <w:i/>
        </w:rPr>
      </w:pPr>
    </w:p>
    <w:p w:rsidR="004A21BD" w:rsidRDefault="004A21BD">
      <w:pPr>
        <w:spacing w:after="0" w:line="240" w:lineRule="auto"/>
        <w:rPr>
          <w:b/>
        </w:rPr>
      </w:pPr>
    </w:p>
    <w:p w:rsidR="004A21BD" w:rsidRDefault="004A21BD">
      <w:pPr>
        <w:jc w:val="center"/>
        <w:rPr>
          <w:b/>
          <w:smallCaps/>
        </w:rPr>
      </w:pPr>
    </w:p>
    <w:p w:rsidR="004A21BD" w:rsidRDefault="00F00477">
      <w:pPr>
        <w:jc w:val="center"/>
        <w:rPr>
          <w:b/>
          <w:smallCaps/>
        </w:rPr>
      </w:pPr>
      <w:r>
        <w:rPr>
          <w:b/>
          <w:smallCaps/>
        </w:rPr>
        <w:t>CROWN COMMERCIAL SERVICE</w:t>
      </w:r>
    </w:p>
    <w:p w:rsidR="004A21BD" w:rsidRDefault="00F00477">
      <w:pPr>
        <w:jc w:val="center"/>
        <w:rPr>
          <w:b/>
          <w:smallCaps/>
        </w:rPr>
      </w:pPr>
      <w:r>
        <w:rPr>
          <w:b/>
          <w:smallCaps/>
        </w:rPr>
        <w:t>AND</w:t>
      </w:r>
    </w:p>
    <w:p w:rsidR="004A21BD" w:rsidRDefault="00F00477">
      <w:pPr>
        <w:jc w:val="center"/>
        <w:rPr>
          <w:b/>
          <w:smallCaps/>
        </w:rPr>
      </w:pPr>
      <w:r>
        <w:rPr>
          <w:b/>
          <w:smallCaps/>
        </w:rPr>
        <w:t>SUPPLIER</w:t>
      </w:r>
    </w:p>
    <w:p w:rsidR="004A21BD" w:rsidRDefault="00F00477">
      <w:pPr>
        <w:spacing w:before="240"/>
        <w:ind w:left="2858" w:firstLine="21"/>
        <w:rPr>
          <w:b/>
          <w:color w:val="222222"/>
          <w:highlight w:val="white"/>
        </w:rPr>
      </w:pPr>
      <w:r>
        <w:rPr>
          <w:b/>
          <w:color w:val="222222"/>
          <w:highlight w:val="white"/>
        </w:rPr>
        <w:t>WORKPLACE SERVICES CONTRACT</w:t>
      </w:r>
    </w:p>
    <w:p w:rsidR="004A21BD" w:rsidRDefault="00F00477">
      <w:pPr>
        <w:spacing w:before="240"/>
        <w:ind w:left="2880"/>
        <w:rPr>
          <w:b/>
          <w:color w:val="222222"/>
          <w:highlight w:val="white"/>
        </w:rPr>
      </w:pPr>
      <w:r>
        <w:rPr>
          <w:b/>
          <w:color w:val="222222"/>
          <w:highlight w:val="white"/>
        </w:rPr>
        <w:t xml:space="preserve">    (FM MARKETPLACE PHASE 2)</w:t>
      </w:r>
    </w:p>
    <w:p w:rsidR="004A21BD" w:rsidRDefault="00F00477">
      <w:pPr>
        <w:jc w:val="center"/>
        <w:rPr>
          <w:b/>
          <w:smallCaps/>
        </w:rPr>
      </w:pPr>
      <w:r>
        <w:rPr>
          <w:b/>
          <w:smallCaps/>
        </w:rPr>
        <w:t>REF: RM6089</w:t>
      </w:r>
    </w:p>
    <w:p w:rsidR="004A21BD" w:rsidRDefault="004A21BD">
      <w:pPr>
        <w:jc w:val="center"/>
        <w:rPr>
          <w:b/>
          <w:smallCaps/>
        </w:rPr>
      </w:pPr>
    </w:p>
    <w:p w:rsidR="004A21BD" w:rsidRDefault="004A21BD">
      <w:pPr>
        <w:jc w:val="center"/>
        <w:rPr>
          <w:b/>
          <w:smallCaps/>
        </w:rPr>
      </w:pPr>
      <w:bookmarkStart w:id="0" w:name="_gjdgxs" w:colFirst="0" w:colLast="0"/>
      <w:bookmarkEnd w:id="0"/>
    </w:p>
    <w:p w:rsidR="004A21BD" w:rsidRDefault="004A21BD">
      <w:pPr>
        <w:jc w:val="center"/>
        <w:rPr>
          <w:b/>
          <w:smallCaps/>
        </w:rPr>
      </w:pPr>
    </w:p>
    <w:p w:rsidR="004A21BD" w:rsidRDefault="00F00477">
      <w:pPr>
        <w:rPr>
          <w:b/>
          <w:smallCaps/>
        </w:rPr>
      </w:pPr>
      <w:r>
        <w:br w:type="page"/>
      </w:r>
    </w:p>
    <w:p w:rsidR="004A21BD" w:rsidRDefault="00F00477">
      <w:pPr>
        <w:jc w:val="center"/>
        <w:rPr>
          <w:b/>
          <w:smallCaps/>
        </w:rPr>
      </w:pPr>
      <w:r>
        <w:rPr>
          <w:b/>
          <w:smallCaps/>
        </w:rPr>
        <w:lastRenderedPageBreak/>
        <w:t>JOINT SCHEDULE 1</w:t>
      </w:r>
    </w:p>
    <w:p w:rsidR="004A21BD" w:rsidRDefault="00F00477">
      <w:pPr>
        <w:jc w:val="center"/>
        <w:rPr>
          <w:b/>
          <w:smallCaps/>
        </w:rPr>
      </w:pPr>
      <w:r>
        <w:rPr>
          <w:b/>
          <w:smallCaps/>
        </w:rPr>
        <w:t>DEFINITIONS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 capitalised expressions shall have the meanings set out in this Joint Schedule 1 (Definitions) or the relevant Schedule in which that capitalised expression appears.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bookmarkStart w:id="1" w:name="_30j0zll" w:colFirst="0" w:colLast="0"/>
      <w:bookmarkEnd w:id="1"/>
      <w:r>
        <w:rPr>
          <w:color w:val="000000"/>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singular includes the plural and vice versa;</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 to a gender includes the other gender and the neuter;</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person include an individual, company, body corporate, corporation, unincorporated association, firm, partnership or other legal entity or Crown Body;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a reference to any Law includes a reference to that Law as amended, extended, consolidated or re-enacted from time to time;</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words "</w:t>
      </w:r>
      <w:r>
        <w:rPr>
          <w:b/>
          <w:color w:val="000000"/>
        </w:rPr>
        <w:t>including</w:t>
      </w:r>
      <w:r>
        <w:rPr>
          <w:color w:val="000000"/>
        </w:rPr>
        <w:t>", "</w:t>
      </w:r>
      <w:r>
        <w:rPr>
          <w:b/>
          <w:color w:val="000000"/>
        </w:rPr>
        <w:t>other</w:t>
      </w:r>
      <w:r>
        <w:rPr>
          <w:color w:val="000000"/>
        </w:rPr>
        <w:t>", "</w:t>
      </w:r>
      <w:r>
        <w:rPr>
          <w:b/>
          <w:color w:val="000000"/>
        </w:rPr>
        <w:t>in particular</w:t>
      </w:r>
      <w:r>
        <w:rPr>
          <w:color w:val="000000"/>
        </w:rPr>
        <w:t>", "</w:t>
      </w:r>
      <w:r>
        <w:rPr>
          <w:b/>
          <w:color w:val="000000"/>
        </w:rPr>
        <w:t>for example</w:t>
      </w:r>
      <w:r>
        <w:rPr>
          <w:color w:val="000000"/>
        </w:rPr>
        <w:t>" and similar words shall not limit the generality of the preceding words and shall be construed as if they were immediately followed by the words "</w:t>
      </w:r>
      <w:r>
        <w:rPr>
          <w:b/>
          <w:color w:val="000000"/>
        </w:rPr>
        <w:t>without limitation</w:t>
      </w:r>
      <w:r>
        <w:rPr>
          <w:color w:val="000000"/>
        </w:rPr>
        <w:t>";</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writing</w:t>
      </w:r>
      <w:r>
        <w:rPr>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representations</w:t>
      </w:r>
      <w:r>
        <w:rPr>
          <w:color w:val="000000"/>
        </w:rPr>
        <w:t>" shall be construed as references to present facts, to "</w:t>
      </w:r>
      <w:r>
        <w:rPr>
          <w:b/>
          <w:color w:val="000000"/>
        </w:rPr>
        <w:t>warranties</w:t>
      </w:r>
      <w:r>
        <w:rPr>
          <w:color w:val="000000"/>
        </w:rPr>
        <w:t>" as references to present and future facts and to "</w:t>
      </w:r>
      <w:r>
        <w:rPr>
          <w:b/>
          <w:color w:val="000000"/>
        </w:rPr>
        <w:t>undertakings"</w:t>
      </w:r>
      <w:r>
        <w:rPr>
          <w:color w:val="000000"/>
        </w:rPr>
        <w:t xml:space="preserve"> as references to obligations under the Contract;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 xml:space="preserve">"Clauses" </w:t>
      </w:r>
      <w:r>
        <w:rPr>
          <w:color w:val="000000"/>
        </w:rPr>
        <w:t xml:space="preserve">and </w:t>
      </w:r>
      <w:r>
        <w:rPr>
          <w:b/>
          <w:color w:val="000000"/>
        </w:rPr>
        <w:t>"Schedules"</w:t>
      </w:r>
      <w:r>
        <w:rPr>
          <w:color w:val="00000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"Paragraphs"</w:t>
      </w:r>
      <w:r>
        <w:rPr>
          <w:color w:val="000000"/>
        </w:rPr>
        <w:t xml:space="preserve"> are, unless otherwise provided, references to the paragraph of the appropriate Schedules unless otherwise provided; and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proofErr w:type="gramStart"/>
      <w:r>
        <w:rPr>
          <w:color w:val="000000"/>
        </w:rPr>
        <w:t>references</w:t>
      </w:r>
      <w:proofErr w:type="gramEnd"/>
      <w:r>
        <w:rPr>
          <w:color w:val="000000"/>
        </w:rPr>
        <w:t xml:space="preserve"> to a series of Clauses or Paragraphs shall be inclusive of the clause numbers specified.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proofErr w:type="gramStart"/>
      <w:r>
        <w:rPr>
          <w:color w:val="000000"/>
        </w:rPr>
        <w:t>the</w:t>
      </w:r>
      <w:proofErr w:type="gramEnd"/>
      <w:r>
        <w:rPr>
          <w:color w:val="000000"/>
        </w:rPr>
        <w:t xml:space="preserve"> headings in each Contract are for ease of reference only and shall not affect the interpretation or construction of a Contract.</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lastRenderedPageBreak/>
        <w:t>In each Contract, unless the context otherwise requires, the following words shall have the following meanings:</w:t>
      </w:r>
    </w:p>
    <w:p w:rsidR="004A21BD" w:rsidRDefault="004A21BD">
      <w:pPr>
        <w:keepNext/>
        <w:numPr>
          <w:ilvl w:val="0"/>
          <w:numId w:val="1"/>
        </w:numPr>
        <w:pBdr>
          <w:top w:val="nil"/>
          <w:left w:val="nil"/>
          <w:bottom w:val="nil"/>
          <w:right w:val="nil"/>
          <w:between w:val="nil"/>
        </w:pBdr>
        <w:tabs>
          <w:tab w:val="left" w:pos="1134"/>
        </w:tabs>
        <w:spacing w:before="120" w:after="120" w:line="240" w:lineRule="auto"/>
        <w:ind w:left="1134" w:hanging="567"/>
        <w:jc w:val="both"/>
        <w:rPr>
          <w:color w:val="000000"/>
        </w:rPr>
      </w:pPr>
    </w:p>
    <w:p w:rsidR="004A21BD" w:rsidRDefault="004A21BD">
      <w:pPr>
        <w:keepNext/>
        <w:numPr>
          <w:ilvl w:val="0"/>
          <w:numId w:val="1"/>
        </w:numPr>
        <w:pBdr>
          <w:top w:val="nil"/>
          <w:left w:val="nil"/>
          <w:bottom w:val="nil"/>
          <w:right w:val="nil"/>
          <w:between w:val="nil"/>
        </w:pBdr>
        <w:tabs>
          <w:tab w:val="left" w:pos="1134"/>
        </w:tabs>
        <w:spacing w:before="120" w:after="120" w:line="240" w:lineRule="auto"/>
        <w:ind w:left="1134" w:hanging="567"/>
        <w:jc w:val="both"/>
        <w:rPr>
          <w:color w:val="000000"/>
        </w:rPr>
      </w:pPr>
    </w:p>
    <w:p w:rsidR="004A21BD" w:rsidRDefault="00F00477">
      <w:pPr>
        <w:keepNext/>
        <w:numPr>
          <w:ilvl w:val="0"/>
          <w:numId w:val="1"/>
        </w:numPr>
        <w:pBdr>
          <w:top w:val="nil"/>
          <w:left w:val="nil"/>
          <w:bottom w:val="nil"/>
          <w:right w:val="nil"/>
          <w:between w:val="nil"/>
        </w:pBdr>
        <w:tabs>
          <w:tab w:val="left" w:pos="1134"/>
        </w:tabs>
        <w:spacing w:before="120" w:after="120" w:line="240" w:lineRule="auto"/>
        <w:ind w:left="1134" w:hanging="567"/>
        <w:jc w:val="both"/>
        <w:rPr>
          <w:color w:val="000000"/>
        </w:rPr>
      </w:pPr>
      <w:r>
        <w:rPr>
          <w:color w:val="000000"/>
        </w:rPr>
        <w:t xml:space="preserve"> </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6139"/>
      </w:tblGrid>
      <w:tr w:rsidR="004A21BD">
        <w:tc>
          <w:tcPr>
            <w:tcW w:w="2877" w:type="dxa"/>
            <w:vAlign w:val="center"/>
          </w:tcPr>
          <w:p w:rsidR="004A21BD" w:rsidRDefault="00F00477">
            <w:pPr>
              <w:jc w:val="center"/>
            </w:pPr>
            <w:r>
              <w:t>DEFINITION</w:t>
            </w:r>
          </w:p>
        </w:tc>
        <w:tc>
          <w:tcPr>
            <w:tcW w:w="6139" w:type="dxa"/>
            <w:vAlign w:val="center"/>
          </w:tcPr>
          <w:p w:rsidR="004A21BD" w:rsidRDefault="00F00477">
            <w:r>
              <w:t>MEANING</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“Accessed Contracts”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Government Frameworks which are available to the Buyer and which the Buyer can grant access to the Supplier, as per paragraph 4 of Call Off Schedule 4</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"Achieve"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 respect of a Test, to successfully pass such Test without any Test Issues and in respect of a Milestone, the issue of a Satisfaction Certificate in respect of that Milestone and "</w:t>
            </w:r>
            <w:r>
              <w:rPr>
                <w:b/>
                <w:color w:val="000000"/>
                <w:sz w:val="22"/>
                <w:szCs w:val="22"/>
              </w:rPr>
              <w:t>Achieved</w:t>
            </w:r>
            <w:r>
              <w:rPr>
                <w:color w:val="000000"/>
                <w:sz w:val="22"/>
                <w:szCs w:val="22"/>
              </w:rPr>
              <w:t>", "</w:t>
            </w:r>
            <w:r>
              <w:rPr>
                <w:b/>
                <w:color w:val="000000"/>
                <w:sz w:val="22"/>
                <w:szCs w:val="22"/>
              </w:rPr>
              <w:t>Achieving</w:t>
            </w:r>
            <w:r>
              <w:rPr>
                <w:color w:val="000000"/>
                <w:sz w:val="22"/>
                <w:szCs w:val="22"/>
              </w:rPr>
              <w:t>" and "</w:t>
            </w:r>
            <w:r>
              <w:rPr>
                <w:b/>
                <w:color w:val="000000"/>
                <w:sz w:val="22"/>
                <w:szCs w:val="22"/>
              </w:rPr>
              <w:t>Achievement</w:t>
            </w:r>
            <w:r>
              <w:rPr>
                <w:color w:val="000000"/>
                <w:sz w:val="22"/>
                <w:szCs w:val="22"/>
              </w:rPr>
              <w:t>" shall be construed accordingly;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"Additional Insurances"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insurance requirements relating to a Call-Off Contract specified in the Order Form additional to those outlined in Schedule J3 (Insurance Requirements) and Call Off Schedule 11</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"Admin Fees"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“Admin Fees” means the costs incurred by CCS in dealing with MI Failures calculated in accordance with the tariff of administration charges published by the CCS on: http://CCS.cabinetoffice.gov.uk/i-am-supplier/management-information/admin-fees;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"Affected Party"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party seeking to claim relief in respect of a Force Majeure Event;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"Affiliates"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 relation to a body corporate, any other entity which directly or indirectly Controls, is Controlled by, or is under direct or indirect common Control of that body corporate from time to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“Allocations”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Buyer process for the allocation of Buyer Premises to applicants;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“Annex”</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extra information which supports a Schedule;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“Applications”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Request for occupancy of Buyer Premises issued to the Buyer;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"Approval"</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prior written consent of the Buyer and "</w:t>
            </w:r>
            <w:r>
              <w:rPr>
                <w:b/>
                <w:color w:val="000000"/>
                <w:sz w:val="22"/>
                <w:szCs w:val="22"/>
              </w:rPr>
              <w:t>Approve</w:t>
            </w:r>
            <w:r>
              <w:rPr>
                <w:color w:val="000000"/>
                <w:sz w:val="22"/>
                <w:szCs w:val="22"/>
              </w:rPr>
              <w:t>" and "</w:t>
            </w:r>
            <w:r>
              <w:rPr>
                <w:b/>
                <w:color w:val="000000"/>
                <w:sz w:val="22"/>
                <w:szCs w:val="22"/>
              </w:rPr>
              <w:t>Approved</w:t>
            </w:r>
            <w:r>
              <w:rPr>
                <w:color w:val="000000"/>
                <w:sz w:val="22"/>
                <w:szCs w:val="22"/>
              </w:rPr>
              <w:t>" shall be construed accordingly;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“Asset”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any</w:t>
            </w:r>
            <w:proofErr w:type="gramEnd"/>
            <w:r>
              <w:rPr>
                <w:color w:val="000000"/>
                <w:sz w:val="22"/>
                <w:szCs w:val="22"/>
              </w:rPr>
              <w:t xml:space="preserve"> item or equipment owned by the Buyer which is maintained as part of the Services.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“Assessed Value”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is the estimated value of the Call Off Contract, used in order to determine the appropriate Lot, and is calculated by using the average of the following inputs provided by the Buyer (where available):</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Unit of Measure of Deliverables required;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lastRenderedPageBreak/>
              <w:t>current costs or estimated annual costs;</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benchmarked costs</w:t>
            </w:r>
          </w:p>
          <w:p w:rsidR="004A21BD" w:rsidRDefault="004A21BD">
            <w:pPr>
              <w:numPr>
                <w:ilvl w:val="0"/>
                <w:numId w:val="4"/>
              </w:numPr>
              <w:pBdr>
                <w:top w:val="nil"/>
                <w:left w:val="nil"/>
                <w:bottom w:val="nil"/>
                <w:right w:val="nil"/>
                <w:between w:val="nil"/>
              </w:pBdr>
              <w:tabs>
                <w:tab w:val="left" w:pos="-9"/>
              </w:tabs>
              <w:spacing w:after="120"/>
              <w:rPr>
                <w:color w:val="000000"/>
              </w:rPr>
            </w:pPr>
          </w:p>
          <w:p w:rsidR="004A21BD" w:rsidRDefault="004A21BD">
            <w:pPr>
              <w:numPr>
                <w:ilvl w:val="0"/>
                <w:numId w:val="4"/>
              </w:numPr>
              <w:pBdr>
                <w:top w:val="nil"/>
                <w:left w:val="nil"/>
                <w:bottom w:val="nil"/>
                <w:right w:val="nil"/>
                <w:between w:val="nil"/>
              </w:pBdr>
              <w:tabs>
                <w:tab w:val="left" w:pos="-9"/>
              </w:tabs>
              <w:spacing w:after="120"/>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"Audit"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Relevant Authority’s right to:</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verify the accuracy of the Charges and any other amounts payable by a Buyer under a Call-Off Contract (including proposed or actual variations to them in accordance with the Contract);</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verify the costs of the Supplier (including the costs of all Subcontractors and any third party suppliers) in connection with the provision of the Services;</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verify the Open Book Data;</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verify the Supplier’s and each Subcontractor’s compliance with the applicable Law;</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identify or investigate any circumstances which may impact upon the financial stability of the Supplier, any Guarantor, and/or any Subcontractors or their ability to provide the Deliverables;</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obtain such information as is necessary to fulfil the Relevant Authority’s obligations to supply information for parliamentary, ministerial, judicial or administrative purposes including the supply of information to the Controller and Auditor General;</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review any books of account and the internal contract management accounts kept by the Supplier in connection with each Contract;</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carry out the Relevant Authority’s internal and statutory audits and to prepare, examine and/or certify the Relevant Authority's annual and interim reports and accounts;</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t>enable the National Audit Office to carry out an examination pursuant to Section 6(1) of the National Audit Act 1983 of the economy, efficiency and effectiveness with which the Relevant Authority has used its resources;</w:t>
            </w:r>
          </w:p>
          <w:p w:rsidR="004A21BD" w:rsidRDefault="00F00477">
            <w:pPr>
              <w:numPr>
                <w:ilvl w:val="0"/>
                <w:numId w:val="3"/>
              </w:numPr>
              <w:pBdr>
                <w:top w:val="nil"/>
                <w:left w:val="nil"/>
                <w:bottom w:val="nil"/>
                <w:right w:val="nil"/>
                <w:between w:val="nil"/>
              </w:pBdr>
              <w:tabs>
                <w:tab w:val="left" w:pos="-9"/>
              </w:tabs>
              <w:spacing w:after="120"/>
              <w:ind w:left="461" w:hanging="288"/>
              <w:rPr>
                <w:color w:val="000000"/>
              </w:rPr>
            </w:pPr>
            <w:r>
              <w:rPr>
                <w:color w:val="000000"/>
                <w:sz w:val="22"/>
                <w:szCs w:val="22"/>
              </w:rPr>
              <w:lastRenderedPageBreak/>
              <w:t>verify the accuracy and completeness of any Management Information delivered or required by the Framework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"Auditor"</w:t>
            </w:r>
          </w:p>
        </w:tc>
        <w:tc>
          <w:tcPr>
            <w:tcW w:w="6139" w:type="dxa"/>
            <w:vAlign w:val="center"/>
          </w:tcPr>
          <w:p w:rsidR="004A21BD" w:rsidRDefault="00F00477">
            <w:pPr>
              <w:numPr>
                <w:ilvl w:val="0"/>
                <w:numId w:val="2"/>
              </w:numPr>
              <w:pBdr>
                <w:top w:val="nil"/>
                <w:left w:val="nil"/>
                <w:bottom w:val="nil"/>
                <w:right w:val="nil"/>
                <w:between w:val="nil"/>
              </w:pBdr>
              <w:tabs>
                <w:tab w:val="left" w:pos="-9"/>
              </w:tabs>
              <w:spacing w:after="120"/>
              <w:ind w:left="501" w:hanging="331"/>
              <w:rPr>
                <w:color w:val="000000"/>
              </w:rPr>
            </w:pPr>
            <w:r>
              <w:rPr>
                <w:color w:val="000000"/>
                <w:sz w:val="22"/>
                <w:szCs w:val="22"/>
              </w:rPr>
              <w:t>the Buyer’s internal and external auditors;</w:t>
            </w:r>
          </w:p>
          <w:p w:rsidR="004A21BD" w:rsidRDefault="00F00477">
            <w:pPr>
              <w:numPr>
                <w:ilvl w:val="0"/>
                <w:numId w:val="2"/>
              </w:numPr>
              <w:pBdr>
                <w:top w:val="nil"/>
                <w:left w:val="nil"/>
                <w:bottom w:val="nil"/>
                <w:right w:val="nil"/>
                <w:between w:val="nil"/>
              </w:pBdr>
              <w:tabs>
                <w:tab w:val="left" w:pos="-9"/>
              </w:tabs>
              <w:spacing w:after="120"/>
              <w:ind w:left="461" w:hanging="288"/>
              <w:rPr>
                <w:color w:val="000000"/>
              </w:rPr>
            </w:pPr>
            <w:r>
              <w:rPr>
                <w:color w:val="000000"/>
                <w:sz w:val="22"/>
                <w:szCs w:val="22"/>
              </w:rPr>
              <w:t>the Buyer’s statutory or regulatory auditors;</w:t>
            </w:r>
          </w:p>
          <w:p w:rsidR="004A21BD" w:rsidRDefault="00F00477">
            <w:pPr>
              <w:numPr>
                <w:ilvl w:val="0"/>
                <w:numId w:val="2"/>
              </w:numPr>
              <w:pBdr>
                <w:top w:val="nil"/>
                <w:left w:val="nil"/>
                <w:bottom w:val="nil"/>
                <w:right w:val="nil"/>
                <w:between w:val="nil"/>
              </w:pBdr>
              <w:tabs>
                <w:tab w:val="left" w:pos="-9"/>
              </w:tabs>
              <w:spacing w:after="120"/>
              <w:ind w:left="461" w:hanging="288"/>
              <w:rPr>
                <w:color w:val="000000"/>
              </w:rPr>
            </w:pPr>
            <w:r>
              <w:rPr>
                <w:color w:val="000000"/>
                <w:sz w:val="22"/>
                <w:szCs w:val="22"/>
              </w:rPr>
              <w:t>the Controller and Auditor General, their staff and/or any appointed representatives of the National Audit Office;</w:t>
            </w:r>
          </w:p>
          <w:p w:rsidR="004A21BD" w:rsidRDefault="00F00477">
            <w:pPr>
              <w:numPr>
                <w:ilvl w:val="0"/>
                <w:numId w:val="2"/>
              </w:numPr>
              <w:pBdr>
                <w:top w:val="nil"/>
                <w:left w:val="nil"/>
                <w:bottom w:val="nil"/>
                <w:right w:val="nil"/>
                <w:between w:val="nil"/>
              </w:pBdr>
              <w:tabs>
                <w:tab w:val="left" w:pos="-9"/>
              </w:tabs>
              <w:spacing w:after="120"/>
              <w:ind w:left="461" w:hanging="288"/>
              <w:rPr>
                <w:color w:val="000000"/>
              </w:rPr>
            </w:pPr>
            <w:r>
              <w:rPr>
                <w:color w:val="000000"/>
                <w:sz w:val="22"/>
                <w:szCs w:val="22"/>
              </w:rPr>
              <w:t>HM Treasury or the Cabinet Office;</w:t>
            </w:r>
          </w:p>
          <w:p w:rsidR="004A21BD" w:rsidRDefault="00F00477">
            <w:pPr>
              <w:numPr>
                <w:ilvl w:val="0"/>
                <w:numId w:val="2"/>
              </w:numPr>
              <w:pBdr>
                <w:top w:val="nil"/>
                <w:left w:val="nil"/>
                <w:bottom w:val="nil"/>
                <w:right w:val="nil"/>
                <w:between w:val="nil"/>
              </w:pBdr>
              <w:tabs>
                <w:tab w:val="left" w:pos="-9"/>
              </w:tabs>
              <w:spacing w:after="120"/>
              <w:ind w:left="461" w:hanging="288"/>
              <w:rPr>
                <w:color w:val="000000"/>
              </w:rPr>
            </w:pPr>
            <w:r>
              <w:rPr>
                <w:color w:val="000000"/>
                <w:sz w:val="22"/>
                <w:szCs w:val="22"/>
              </w:rPr>
              <w:t>any party formally appointed by the Buyer to carry out audit or similar review functions; and</w:t>
            </w:r>
          </w:p>
          <w:p w:rsidR="004A21BD" w:rsidRDefault="00F00477">
            <w:pPr>
              <w:numPr>
                <w:ilvl w:val="0"/>
                <w:numId w:val="2"/>
              </w:numPr>
              <w:pBdr>
                <w:top w:val="nil"/>
                <w:left w:val="nil"/>
                <w:bottom w:val="nil"/>
                <w:right w:val="nil"/>
                <w:between w:val="nil"/>
              </w:pBdr>
              <w:tabs>
                <w:tab w:val="left" w:pos="-9"/>
              </w:tabs>
              <w:spacing w:after="120"/>
              <w:ind w:left="461" w:hanging="288"/>
              <w:rPr>
                <w:color w:val="000000"/>
              </w:rPr>
            </w:pPr>
            <w:r>
              <w:rPr>
                <w:color w:val="000000"/>
                <w:sz w:val="22"/>
                <w:szCs w:val="22"/>
              </w:rPr>
              <w:t>successors or assigns of any of the above;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“Authorising Engineers (AE) and Authorised Persons (AP)”</w:t>
            </w:r>
          </w:p>
        </w:tc>
        <w:tc>
          <w:tcPr>
            <w:tcW w:w="6139" w:type="dxa"/>
            <w:vAlign w:val="center"/>
          </w:tcPr>
          <w:p w:rsidR="004A21BD" w:rsidRDefault="00F00477">
            <w:r>
              <w:rPr>
                <w:sz w:val="22"/>
                <w:szCs w:val="22"/>
              </w:rPr>
              <w:t>An Authorising Engineer (AE) is an independent engineer or other appropriately experienced and qualified individual appointed to take responsibility for the effective management of the safety guidance associated with a Permit to Work System</w:t>
            </w:r>
            <w:r>
              <w: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"Authority"</w:t>
            </w:r>
          </w:p>
        </w:tc>
        <w:tc>
          <w:tcPr>
            <w:tcW w:w="6139" w:type="dxa"/>
            <w:vAlign w:val="center"/>
          </w:tcPr>
          <w:p w:rsidR="004A21BD" w:rsidRDefault="00F00477">
            <w:r>
              <w:t xml:space="preserve">   CCS and each Buyer;</w:t>
            </w:r>
          </w:p>
        </w:tc>
      </w:tr>
      <w:tr w:rsidR="004A21BD">
        <w:tc>
          <w:tcPr>
            <w:tcW w:w="2877" w:type="dxa"/>
            <w:vAlign w:val="center"/>
          </w:tcPr>
          <w:p w:rsidR="004A21BD" w:rsidRDefault="00F00477">
            <w:pPr>
              <w:pBdr>
                <w:top w:val="nil"/>
                <w:left w:val="nil"/>
                <w:bottom w:val="nil"/>
                <w:right w:val="nil"/>
                <w:between w:val="nil"/>
              </w:pBdr>
              <w:ind w:left="-108" w:firstLine="108"/>
              <w:jc w:val="center"/>
              <w:rPr>
                <w:b/>
                <w:color w:val="000000"/>
                <w:sz w:val="22"/>
                <w:szCs w:val="22"/>
              </w:rPr>
            </w:pPr>
            <w:r>
              <w:rPr>
                <w:b/>
                <w:color w:val="000000"/>
                <w:sz w:val="22"/>
                <w:szCs w:val="22"/>
              </w:rPr>
              <w:t>"Authority Cause"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breach of the obligations of the Relevant Authority (but not any other Authority) or any other default, act, omission, negligence or statement of the Relevant Authority, of its employees, servants, agents in connection with or in relation to the subject-matter of the Contract and in respect of which the Relevant Authority is liable to the Supplier; but for the avoidance of doubt this shall not include any other Contracting Authority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"BACS"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Bankers’ Automated Clearing Services, which is a scheme for the electronic processing of financial transactions within the United Kingdom;</w:t>
            </w:r>
          </w:p>
          <w:p w:rsidR="004A21BD" w:rsidRDefault="004A21BD">
            <w:pPr>
              <w:numPr>
                <w:ilvl w:val="0"/>
                <w:numId w:val="4"/>
              </w:numPr>
              <w:pBdr>
                <w:top w:val="nil"/>
                <w:left w:val="nil"/>
                <w:bottom w:val="nil"/>
                <w:right w:val="nil"/>
                <w:between w:val="nil"/>
              </w:pBdr>
              <w:tabs>
                <w:tab w:val="left" w:pos="-9"/>
              </w:tabs>
              <w:spacing w:after="120"/>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"Baseline Monthly Payment"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payment payable in respect of a</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Service Month as set by reference to the Fixed Price Pricing Matrix.</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"BCDR Plan"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shall contain the information as per Call Off Schedule 8;</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"Beneficiary"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Party having (or claiming to have) the benefit of an indemnity under this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“Beyond Economic Repair”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paragraph 29.8 of Framework Schedule 1 (Specification)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"Billable Works"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w:t>
            </w:r>
            <w:proofErr w:type="gramEnd"/>
            <w:r>
              <w:rPr>
                <w:color w:val="000000"/>
                <w:sz w:val="22"/>
                <w:szCs w:val="22"/>
              </w:rPr>
              <w:t xml:space="preserve">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w:t>
            </w:r>
            <w:r>
              <w:rPr>
                <w:color w:val="000000"/>
                <w:sz w:val="22"/>
                <w:szCs w:val="22"/>
              </w:rPr>
              <w:lastRenderedPageBreak/>
              <w:t>5.6 of Call Off Schedule 4a.  For the avoidance of doubt, Billable Works are raised in accordance with the Billable Works and Approval Process and are not included in the Baseline Monthly Payment;</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"Billable Works and Approval Process"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process described as such in Framework Schedule 1 (Specification) - Appendix 3 – Billable Works and Approvals Process;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"Billable Works Management Uplift"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maximum permitted rate of uplift as set out in the Pricing Matrix;</w:t>
            </w:r>
          </w:p>
          <w:p w:rsidR="004A21BD" w:rsidRDefault="004A21BD">
            <w:pPr>
              <w:numPr>
                <w:ilvl w:val="0"/>
                <w:numId w:val="4"/>
              </w:numPr>
              <w:pBdr>
                <w:top w:val="nil"/>
                <w:left w:val="nil"/>
                <w:bottom w:val="nil"/>
                <w:right w:val="nil"/>
                <w:between w:val="nil"/>
              </w:pBdr>
              <w:tabs>
                <w:tab w:val="left" w:pos="-9"/>
              </w:tabs>
              <w:spacing w:after="120"/>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"Breach of Security"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occurrence of:</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 the loss and/or unauthorised disclosure of any information or data (including the Confidential Information and the Government Data), including any copies of such information or data, used by the Buyer and/or the Supplier in connection with this Contract,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 either case as more particularly set out in the Security Policy;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"Business Continuity Plan"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shall contain the information as per section 3.2 of Call Off Schedule 8;</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"Business Critical Events"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any event: (</w:t>
            </w:r>
            <w:proofErr w:type="spellStart"/>
            <w:r>
              <w:rPr>
                <w:color w:val="000000"/>
                <w:sz w:val="22"/>
                <w:szCs w:val="22"/>
              </w:rPr>
              <w:t>i</w:t>
            </w:r>
            <w:proofErr w:type="spellEnd"/>
            <w:r>
              <w:rPr>
                <w:color w:val="000000"/>
                <w:sz w:val="22"/>
                <w:szCs w:val="22"/>
              </w:rPr>
              <w:t>) described as such in the Order Form; (ii)  which relates to the immediate security or health and safety of Buyer Premises; or (iii) which triggers the invocation of the Business Continuity and Disaster Recovery Plan;</w:t>
            </w:r>
          </w:p>
          <w:p w:rsidR="004A21BD" w:rsidRDefault="004A21BD">
            <w:pPr>
              <w:numPr>
                <w:ilvl w:val="0"/>
                <w:numId w:val="4"/>
              </w:numPr>
              <w:pBdr>
                <w:top w:val="nil"/>
                <w:left w:val="nil"/>
                <w:bottom w:val="nil"/>
                <w:right w:val="nil"/>
                <w:between w:val="nil"/>
              </w:pBdr>
              <w:tabs>
                <w:tab w:val="left" w:pos="-9"/>
              </w:tabs>
              <w:spacing w:after="120"/>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“Business Unit”</w:t>
            </w:r>
          </w:p>
        </w:tc>
        <w:tc>
          <w:tcPr>
            <w:tcW w:w="6139" w:type="dxa"/>
            <w:vAlign w:val="center"/>
          </w:tcPr>
          <w:p w:rsidR="004A21BD" w:rsidRDefault="00F00477">
            <w:pPr>
              <w:pBdr>
                <w:top w:val="nil"/>
                <w:left w:val="nil"/>
                <w:bottom w:val="nil"/>
                <w:right w:val="nil"/>
                <w:between w:val="nil"/>
              </w:pBdr>
              <w:rPr>
                <w:color w:val="000000"/>
                <w:sz w:val="22"/>
                <w:szCs w:val="22"/>
              </w:rPr>
            </w:pPr>
            <w:r>
              <w:rPr>
                <w:color w:val="000000"/>
                <w:sz w:val="22"/>
                <w:szCs w:val="22"/>
              </w:rPr>
              <w:t>means a logical element or segment of Buyer’s organisation    representing a specific business</w:t>
            </w:r>
          </w:p>
          <w:p w:rsidR="004A21BD" w:rsidRDefault="00F00477">
            <w:pPr>
              <w:pBdr>
                <w:top w:val="nil"/>
                <w:left w:val="nil"/>
                <w:bottom w:val="nil"/>
                <w:right w:val="nil"/>
                <w:between w:val="nil"/>
              </w:pBdr>
              <w:rPr>
                <w:color w:val="000000"/>
                <w:sz w:val="22"/>
                <w:szCs w:val="22"/>
              </w:rPr>
            </w:pPr>
            <w:r>
              <w:rPr>
                <w:color w:val="000000"/>
                <w:sz w:val="22"/>
                <w:szCs w:val="22"/>
              </w:rPr>
              <w:t>function;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“Buyer Inputs”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range of information provided by the Buyer in order to create the Supplier Brief.</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"Buyer"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relevant public sector purchaser identified as such in the Order Form;</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"Buyer Assets"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Buyer’s infrastructure, data, software, materials, assets, equipment or other property owned by and/or licensed or leased to the Buyer and which is or may be used in connection with the provision of the Deliverables;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"Buyer Authorised Representative"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representative appointed by the Buyer from time to time in relation to the Call-Off Contract initially identified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“Buyer Equipment”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Buyer Assets at any Site on the Start Date;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“Buyer Personnel”</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Personnel employed by the Buyer;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"Buyer Premises"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premises owned, controlled or occupied by the Buyer which are made available for use by the Supplier or its Subcontractors for the provision of the Deliverables (or any of them);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“Buyer Security Representative”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jc w:val="both"/>
              <w:rPr>
                <w:color w:val="000000"/>
              </w:rPr>
            </w:pPr>
            <w:r>
              <w:rPr>
                <w:color w:val="000000"/>
                <w:sz w:val="22"/>
                <w:szCs w:val="22"/>
              </w:rPr>
              <w:t>means the individual(s) nominated by the Buyer</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to liaise with the Supplier regarding Security Services;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"CAFM System"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the computer aided faculties management system operated by the Supplier in connection with the provision of the Deliverables; </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 Off Contract”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contract between the Buyer and the Supplier (entered into pursuant to the provisions of the Framework Contract), which consists of the terms set out and referred to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Contract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Contract Period in respect of the Call-Off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Expiry Date"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date of the end of a Call-Off Contract as stated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Incorporated Terms"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contractual terms applicable to the Call-Off Contract specified under the relevant heading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Initial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Initial Period of a Call-Off Contract specified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Optional Extension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such period or periods beyond which the Call-Off Initial Period may be extended up to a maximum of the number of years in total specified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Procedure"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process for awarding a Call-Off Contract pursuant to Core Terms clause 2 (How the contract works) and Framework Schedule 7 (Call-Off Procedure and Award Criteria);</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Special Terms"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additional terms and conditions specified in the Order Form incorporated into the applicable Call-Off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Start Date"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date of start of a Call-Off Contract as stated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"Call-Off Tender"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the tender submitted by the Supplier in response to the Buyer’s Statement of Requirements following a Further </w:t>
            </w:r>
            <w:r>
              <w:rPr>
                <w:color w:val="000000"/>
                <w:sz w:val="22"/>
                <w:szCs w:val="22"/>
              </w:rPr>
              <w:lastRenderedPageBreak/>
              <w:t>Competition Procedure and set out at Call-Off Schedule 22 (Call-Off Tender);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"CCS"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"CCS Authorised Representative"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representative appointed by CCS from time to time in relation to the Framework Contract initially identified in the Framework Award Form;</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“CCS Reuse”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Crown Commercial Service’s reuse service website http://cabinetoffice.gov.uk/reuseservice used to identify spare furniture stock in other government organisations;</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"Central Government Body"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body listed in one of the following sub-categories of the Central Government classification of the Public Sector Classification Guide, as published and amended from time to time by the Office for National Statistics:</w:t>
            </w:r>
          </w:p>
          <w:p w:rsidR="004A21BD" w:rsidRDefault="00F00477">
            <w:pPr>
              <w:numPr>
                <w:ilvl w:val="1"/>
                <w:numId w:val="4"/>
              </w:numPr>
              <w:pBdr>
                <w:top w:val="nil"/>
                <w:left w:val="nil"/>
                <w:bottom w:val="nil"/>
                <w:right w:val="nil"/>
                <w:between w:val="nil"/>
              </w:pBdr>
              <w:tabs>
                <w:tab w:val="left" w:pos="144"/>
              </w:tabs>
              <w:spacing w:after="120"/>
              <w:ind w:left="689" w:hanging="545"/>
              <w:rPr>
                <w:sz w:val="22"/>
                <w:szCs w:val="22"/>
              </w:rPr>
            </w:pPr>
            <w:r>
              <w:rPr>
                <w:color w:val="000000"/>
                <w:sz w:val="22"/>
                <w:szCs w:val="22"/>
              </w:rPr>
              <w:t>Government Department;</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Non-Departmental Public Body or Assembly Sponsored Public Body (advisory, executive, or tribunal);</w:t>
            </w:r>
          </w:p>
          <w:p w:rsidR="004A21BD" w:rsidRDefault="00F00477">
            <w:pPr>
              <w:numPr>
                <w:ilvl w:val="1"/>
                <w:numId w:val="4"/>
              </w:numPr>
              <w:pBdr>
                <w:top w:val="nil"/>
                <w:left w:val="nil"/>
                <w:bottom w:val="nil"/>
                <w:right w:val="nil"/>
                <w:between w:val="nil"/>
              </w:pBdr>
              <w:tabs>
                <w:tab w:val="left" w:pos="144"/>
              </w:tabs>
              <w:spacing w:after="120"/>
              <w:ind w:left="689" w:hanging="545"/>
              <w:rPr>
                <w:sz w:val="22"/>
                <w:szCs w:val="22"/>
              </w:rPr>
            </w:pPr>
            <w:r>
              <w:rPr>
                <w:color w:val="000000"/>
                <w:sz w:val="22"/>
                <w:szCs w:val="22"/>
              </w:rPr>
              <w:t>Non-Ministerial Department; or</w:t>
            </w:r>
          </w:p>
          <w:p w:rsidR="004A21BD" w:rsidRDefault="00F00477">
            <w:pPr>
              <w:numPr>
                <w:ilvl w:val="1"/>
                <w:numId w:val="4"/>
              </w:numPr>
              <w:pBdr>
                <w:top w:val="nil"/>
                <w:left w:val="nil"/>
                <w:bottom w:val="nil"/>
                <w:right w:val="nil"/>
                <w:between w:val="nil"/>
              </w:pBdr>
              <w:tabs>
                <w:tab w:val="left" w:pos="144"/>
              </w:tabs>
              <w:spacing w:after="120"/>
              <w:ind w:left="689" w:hanging="545"/>
              <w:rPr>
                <w:sz w:val="22"/>
                <w:szCs w:val="22"/>
              </w:rPr>
            </w:pPr>
            <w:r>
              <w:rPr>
                <w:color w:val="000000"/>
                <w:sz w:val="22"/>
                <w:szCs w:val="22"/>
              </w:rPr>
              <w:t>Executive Agency;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"Change in Law"</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change in Law which impacts on the supply of the Deliverables and performance of the Contract which comes into force after the Start Date;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"Change of Control"</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change of control within the meaning of Section 450 of the Corporation Tax Act 2010;</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"Charges"</w:t>
            </w:r>
          </w:p>
        </w:tc>
        <w:tc>
          <w:tcPr>
            <w:tcW w:w="6139" w:type="dxa"/>
            <w:vAlign w:val="center"/>
          </w:tcPr>
          <w:p w:rsidR="004A21BD" w:rsidRDefault="00F00477">
            <w:pPr>
              <w:pBdr>
                <w:top w:val="nil"/>
                <w:left w:val="nil"/>
                <w:bottom w:val="nil"/>
                <w:right w:val="nil"/>
                <w:between w:val="nil"/>
              </w:pBdr>
              <w:tabs>
                <w:tab w:val="left" w:pos="-9"/>
              </w:tabs>
              <w:spacing w:after="120"/>
              <w:ind w:left="144"/>
              <w:rPr>
                <w:color w:val="000000"/>
                <w:sz w:val="22"/>
                <w:szCs w:val="22"/>
              </w:rPr>
            </w:pPr>
            <w:r>
              <w:rPr>
                <w:color w:val="000000"/>
                <w:sz w:val="22"/>
                <w:szCs w:val="22"/>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"Claim"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claim which it appears that a Beneficiary is, or may become, entitled to indemnification under this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"Commercially Sensitive Information"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"Comparable Supply"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supply of Deliverables to another Buyer of the Supplier that are the same or similar to the Deliverables;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"Compliance Officer"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person(s) appointed by the Supplier who is responsible for ensuring that the Supplier complies with its legal obligations;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“Condition Survey”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a periodic lease-driven survey and/or formal periodic survey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"Confidential Information"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Pr>
                <w:b/>
                <w:color w:val="000000"/>
                <w:sz w:val="22"/>
                <w:szCs w:val="22"/>
              </w:rPr>
              <w:t>"confidential"</w:t>
            </w:r>
            <w:r>
              <w:rPr>
                <w:color w:val="000000"/>
                <w:sz w:val="22"/>
                <w:szCs w:val="22"/>
              </w:rPr>
              <w:t>) or which ought reasonably to be considered to be confidential;</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"Conflict of Interest"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conflict between the financial or personal duties of the Supplier or the Supplier Staff and the duties owed to CCS or any Buyer under a Contract, in the reasonable opinion of the Buyer or CCS;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"Contract"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either the Framework Contract or the Call-Off Contract, as the context requires;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"Contract Period"</w:t>
            </w:r>
          </w:p>
        </w:tc>
        <w:tc>
          <w:tcPr>
            <w:tcW w:w="6139" w:type="dxa"/>
            <w:vAlign w:val="center"/>
          </w:tcPr>
          <w:p w:rsidR="004A21BD" w:rsidRPr="00B9479D" w:rsidRDefault="00F00477">
            <w:pPr>
              <w:numPr>
                <w:ilvl w:val="0"/>
                <w:numId w:val="4"/>
              </w:numPr>
              <w:pBdr>
                <w:top w:val="nil"/>
                <w:left w:val="nil"/>
                <w:bottom w:val="nil"/>
                <w:right w:val="nil"/>
                <w:between w:val="nil"/>
              </w:pBdr>
              <w:tabs>
                <w:tab w:val="left" w:pos="-9"/>
              </w:tabs>
              <w:spacing w:after="120"/>
              <w:rPr>
                <w:rFonts w:asciiTheme="majorHAnsi" w:hAnsiTheme="majorHAnsi" w:cstheme="majorHAnsi"/>
                <w:color w:val="000000"/>
                <w:sz w:val="22"/>
                <w:szCs w:val="22"/>
              </w:rPr>
            </w:pPr>
            <w:r w:rsidRPr="00B9479D">
              <w:rPr>
                <w:rFonts w:asciiTheme="majorHAnsi" w:hAnsiTheme="majorHAnsi" w:cstheme="majorHAnsi"/>
                <w:color w:val="000000"/>
                <w:sz w:val="22"/>
                <w:szCs w:val="22"/>
              </w:rPr>
              <w:t>the term of either a Framework Contract or Call-Off Contract from the earlier of the:</w:t>
            </w:r>
          </w:p>
          <w:p w:rsidR="004A21BD" w:rsidRPr="00B9479D" w:rsidRDefault="00F00477">
            <w:pPr>
              <w:numPr>
                <w:ilvl w:val="1"/>
                <w:numId w:val="4"/>
              </w:numPr>
              <w:pBdr>
                <w:top w:val="nil"/>
                <w:left w:val="nil"/>
                <w:bottom w:val="nil"/>
                <w:right w:val="nil"/>
                <w:between w:val="nil"/>
              </w:pBdr>
              <w:tabs>
                <w:tab w:val="left" w:pos="144"/>
              </w:tabs>
              <w:spacing w:after="120"/>
              <w:ind w:left="689" w:hanging="545"/>
              <w:rPr>
                <w:rFonts w:asciiTheme="majorHAnsi" w:hAnsiTheme="majorHAnsi" w:cstheme="majorHAnsi"/>
                <w:sz w:val="22"/>
                <w:szCs w:val="22"/>
              </w:rPr>
            </w:pPr>
            <w:r w:rsidRPr="00B9479D">
              <w:rPr>
                <w:rFonts w:asciiTheme="majorHAnsi" w:hAnsiTheme="majorHAnsi" w:cstheme="majorHAnsi"/>
                <w:color w:val="000000"/>
                <w:sz w:val="22"/>
                <w:szCs w:val="22"/>
              </w:rPr>
              <w:t>applicable Start Date; or</w:t>
            </w:r>
          </w:p>
          <w:p w:rsidR="004A21BD" w:rsidRPr="00B9479D" w:rsidRDefault="00F00477">
            <w:pPr>
              <w:numPr>
                <w:ilvl w:val="1"/>
                <w:numId w:val="4"/>
              </w:numPr>
              <w:pBdr>
                <w:top w:val="nil"/>
                <w:left w:val="nil"/>
                <w:bottom w:val="nil"/>
                <w:right w:val="nil"/>
                <w:between w:val="nil"/>
              </w:pBdr>
              <w:tabs>
                <w:tab w:val="left" w:pos="144"/>
              </w:tabs>
              <w:spacing w:after="120"/>
              <w:ind w:left="689" w:hanging="545"/>
              <w:rPr>
                <w:rFonts w:asciiTheme="majorHAnsi" w:hAnsiTheme="majorHAnsi" w:cstheme="majorHAnsi"/>
                <w:sz w:val="22"/>
                <w:szCs w:val="22"/>
              </w:rPr>
            </w:pPr>
            <w:r w:rsidRPr="00B9479D">
              <w:rPr>
                <w:rFonts w:asciiTheme="majorHAnsi" w:hAnsiTheme="majorHAnsi" w:cstheme="majorHAnsi"/>
                <w:color w:val="000000"/>
                <w:sz w:val="22"/>
                <w:szCs w:val="22"/>
              </w:rPr>
              <w:t>the Effective Date</w:t>
            </w:r>
          </w:p>
          <w:p w:rsidR="004A21BD" w:rsidRPr="00B9479D" w:rsidRDefault="00F00477" w:rsidP="00B9479D">
            <w:pPr>
              <w:pBdr>
                <w:top w:val="nil"/>
                <w:left w:val="nil"/>
                <w:bottom w:val="nil"/>
                <w:right w:val="nil"/>
                <w:between w:val="nil"/>
              </w:pBdr>
              <w:tabs>
                <w:tab w:val="left" w:pos="-576"/>
              </w:tabs>
              <w:spacing w:after="120"/>
              <w:ind w:firstLine="141"/>
              <w:rPr>
                <w:rFonts w:asciiTheme="majorHAnsi" w:hAnsiTheme="majorHAnsi" w:cstheme="majorHAnsi"/>
                <w:color w:val="000000"/>
                <w:sz w:val="22"/>
                <w:szCs w:val="22"/>
              </w:rPr>
            </w:pPr>
            <w:r w:rsidRPr="00B9479D">
              <w:rPr>
                <w:rFonts w:asciiTheme="majorHAnsi" w:hAnsiTheme="majorHAnsi" w:cstheme="majorHAnsi"/>
                <w:color w:val="000000"/>
                <w:sz w:val="22"/>
                <w:szCs w:val="22"/>
              </w:rPr>
              <w:t>until the applicable End Date;</w:t>
            </w:r>
            <w:r w:rsidR="00B9479D" w:rsidRPr="00B9479D">
              <w:rPr>
                <w:rFonts w:asciiTheme="majorHAnsi" w:hAnsiTheme="majorHAnsi" w:cstheme="majorHAnsi"/>
                <w:color w:val="000000"/>
                <w:sz w:val="22"/>
                <w:szCs w:val="22"/>
              </w:rPr>
              <w:t xml:space="preserve"> and in</w:t>
            </w:r>
            <w:r w:rsidR="00B9479D" w:rsidRPr="00B9479D">
              <w:rPr>
                <w:rFonts w:asciiTheme="majorHAnsi" w:hAnsiTheme="majorHAnsi" w:cstheme="majorHAnsi"/>
                <w:iCs/>
                <w:color w:val="000000"/>
                <w:sz w:val="22"/>
                <w:szCs w:val="22"/>
                <w:shd w:val="clear" w:color="auto" w:fill="FFFFFF"/>
              </w:rPr>
              <w:t xml:space="preserve"> the case of a Call-Off Contract, the Call-Off Contract Period</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"Contract Value"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higher of the expected Contract value and the total Charges paid or payable under a Contract where all obligations are met by the Supplier;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"Contract Year"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consecutive period of twelve (12) Months commencing on the Start Date or each anniversary thereof;</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"Control"</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control in either of the senses defined in sections 450 and 1124 of the Corporation Tax Act 2010 and "</w:t>
            </w:r>
            <w:r>
              <w:rPr>
                <w:b/>
                <w:color w:val="000000"/>
                <w:sz w:val="22"/>
                <w:szCs w:val="22"/>
              </w:rPr>
              <w:t>Controlled</w:t>
            </w:r>
            <w:r>
              <w:rPr>
                <w:color w:val="000000"/>
                <w:sz w:val="22"/>
                <w:szCs w:val="22"/>
              </w:rPr>
              <w:t>" shall be construed accordingly;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“Controller”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the GDPR;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“Core Terms”</w:t>
            </w:r>
          </w:p>
        </w:tc>
        <w:tc>
          <w:tcPr>
            <w:tcW w:w="6139" w:type="dxa"/>
            <w:vAlign w:val="center"/>
          </w:tcPr>
          <w:p w:rsidR="004A21BD" w:rsidRDefault="00F00477">
            <w:pPr>
              <w:pBdr>
                <w:top w:val="nil"/>
                <w:left w:val="nil"/>
                <w:bottom w:val="nil"/>
                <w:right w:val="nil"/>
                <w:between w:val="nil"/>
              </w:pBdr>
              <w:tabs>
                <w:tab w:val="left" w:pos="-9"/>
              </w:tabs>
              <w:spacing w:after="120"/>
              <w:ind w:left="170"/>
              <w:rPr>
                <w:color w:val="000000"/>
                <w:sz w:val="22"/>
                <w:szCs w:val="22"/>
              </w:rPr>
            </w:pPr>
            <w:r>
              <w:rPr>
                <w:color w:val="000000"/>
                <w:sz w:val="22"/>
                <w:szCs w:val="22"/>
              </w:rPr>
              <w:t>CCS’ standard terms and conditions for common goods and services which govern how Supplier must interact with CCS and Buyers under Framework Contracts and Call-Off Contracts;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“Corporate Overhead”</w:t>
            </w:r>
          </w:p>
        </w:tc>
        <w:tc>
          <w:tcPr>
            <w:tcW w:w="6139" w:type="dxa"/>
            <w:vAlign w:val="center"/>
          </w:tcPr>
          <w:p w:rsidR="004A21BD" w:rsidRDefault="00F00477">
            <w:pPr>
              <w:pBdr>
                <w:top w:val="nil"/>
                <w:left w:val="nil"/>
                <w:bottom w:val="nil"/>
                <w:right w:val="nil"/>
                <w:between w:val="nil"/>
              </w:pBdr>
              <w:tabs>
                <w:tab w:val="left" w:pos="-9"/>
              </w:tabs>
              <w:spacing w:after="120"/>
              <w:ind w:left="170"/>
              <w:rPr>
                <w:color w:val="000000"/>
                <w:sz w:val="22"/>
                <w:szCs w:val="22"/>
              </w:rPr>
            </w:pPr>
            <w:r>
              <w:rPr>
                <w:color w:val="000000"/>
                <w:sz w:val="22"/>
                <w:szCs w:val="22"/>
              </w:rPr>
              <w:t>has the meaning given to it in Overhead</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"Costs"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following costs (without double recovery) to the extent that they are reasonably and properly incurred by the Supplier in providing the Deliverables: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lastRenderedPageBreak/>
              <w:t>the cost to the Supplier or the Key Subcontractor (as the context requires), calculated per Man Day, of engaging the Supplier Staff, including:</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base salary paid to the Supplier Staff;</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employer’s National Insurance contributions;</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pension contributions;</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car allowances;</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any other contractual employment benefits;</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staff training;</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work place accommodation;</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work place IT equipment and tools reasonably necessary to provide the Deliverables (but not including items included within limb (b) below); and</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reasonable recruitment costs, as agreed with the Buyer;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operational costs which are not included within (a) or (b) above, to the extent that such costs are necessary and properly incurred by the Supplier in the provision of the Deliverables;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Reimbursable Expenses to the extent these have been specified as allowable in the Order Form and are incurred in delivering any Deliverables;</w:t>
            </w:r>
          </w:p>
          <w:p w:rsidR="004A21BD" w:rsidRDefault="00F00477">
            <w:pPr>
              <w:numPr>
                <w:ilvl w:val="0"/>
                <w:numId w:val="4"/>
              </w:numPr>
              <w:pBdr>
                <w:top w:val="nil"/>
                <w:left w:val="nil"/>
                <w:bottom w:val="nil"/>
                <w:right w:val="nil"/>
                <w:between w:val="nil"/>
              </w:pBdr>
              <w:tabs>
                <w:tab w:val="left" w:pos="411"/>
              </w:tabs>
              <w:spacing w:after="120"/>
              <w:rPr>
                <w:color w:val="000000"/>
              </w:rPr>
            </w:pPr>
            <w:r>
              <w:rPr>
                <w:color w:val="000000"/>
                <w:sz w:val="22"/>
                <w:szCs w:val="22"/>
              </w:rPr>
              <w:t>but excluding:</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Overhead;</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financing or similar costs;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maintenance and support costs to the extent that these relate to maintenance and/or support Deliverables provided beyond the Call-Off Contract Period whether in relation to Supplier Assets or otherwise;</w:t>
            </w:r>
          </w:p>
          <w:p w:rsidR="004A21BD" w:rsidRDefault="00F00477">
            <w:pPr>
              <w:numPr>
                <w:ilvl w:val="1"/>
                <w:numId w:val="4"/>
              </w:numPr>
              <w:pBdr>
                <w:top w:val="nil"/>
                <w:left w:val="nil"/>
                <w:bottom w:val="nil"/>
                <w:right w:val="nil"/>
                <w:between w:val="nil"/>
              </w:pBdr>
              <w:tabs>
                <w:tab w:val="left" w:pos="144"/>
              </w:tabs>
              <w:spacing w:after="120"/>
              <w:ind w:left="689" w:hanging="545"/>
              <w:rPr>
                <w:sz w:val="22"/>
                <w:szCs w:val="22"/>
              </w:rPr>
            </w:pPr>
            <w:r>
              <w:rPr>
                <w:color w:val="000000"/>
                <w:sz w:val="22"/>
                <w:szCs w:val="22"/>
              </w:rPr>
              <w:t>taxation;</w:t>
            </w:r>
          </w:p>
          <w:p w:rsidR="004A21BD" w:rsidRDefault="00F00477">
            <w:pPr>
              <w:numPr>
                <w:ilvl w:val="1"/>
                <w:numId w:val="4"/>
              </w:numPr>
              <w:pBdr>
                <w:top w:val="nil"/>
                <w:left w:val="nil"/>
                <w:bottom w:val="nil"/>
                <w:right w:val="nil"/>
                <w:between w:val="nil"/>
              </w:pBdr>
              <w:tabs>
                <w:tab w:val="left" w:pos="144"/>
              </w:tabs>
              <w:spacing w:after="120"/>
              <w:ind w:left="689" w:hanging="545"/>
              <w:rPr>
                <w:sz w:val="22"/>
                <w:szCs w:val="22"/>
              </w:rPr>
            </w:pPr>
            <w:r>
              <w:rPr>
                <w:color w:val="000000"/>
                <w:sz w:val="22"/>
                <w:szCs w:val="22"/>
              </w:rPr>
              <w:t>fines and penalties;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amounts payable under Call-Off Schedule 16 (Benchmarking) where such Schedule is used; and</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lastRenderedPageBreak/>
              <w:t>non-cash items (including depreciation, amortisation, impairments and movements in provisions);</w:t>
            </w:r>
          </w:p>
          <w:p w:rsidR="004A21BD" w:rsidRDefault="004A21BD">
            <w:pPr>
              <w:pBdr>
                <w:top w:val="nil"/>
                <w:left w:val="nil"/>
                <w:bottom w:val="nil"/>
                <w:right w:val="nil"/>
                <w:between w:val="nil"/>
              </w:pBdr>
              <w:tabs>
                <w:tab w:val="left" w:pos="144"/>
              </w:tabs>
              <w:spacing w:after="120"/>
              <w:ind w:left="432" w:hanging="545"/>
              <w:rPr>
                <w:color w:val="000000"/>
                <w:sz w:val="22"/>
                <w:szCs w:val="22"/>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"Credit Rating Threshold"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minimum credit rating level for the Supplier [and the Framework Guarantor/ [ and Call-Off Guarantor]] as set out in Annex 2 of Joint  Schedule 7 [and for each Key Subcontractor (if applicable)];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"Crown Body"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"CRTPA"</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Contract Rights of Third Parties Act 1999;</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“Data Loss Event”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“Data Protection Impact Assessment”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 assessment by the Controller of the impact of the envisaged processing on the protection of Personal Data;</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"Data Protection Legislation"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w:t>
            </w:r>
            <w:proofErr w:type="spellStart"/>
            <w:r>
              <w:rPr>
                <w:color w:val="000000"/>
                <w:sz w:val="22"/>
                <w:szCs w:val="22"/>
              </w:rPr>
              <w:t>i</w:t>
            </w:r>
            <w:proofErr w:type="spellEnd"/>
            <w:r>
              <w:rPr>
                <w:color w:val="000000"/>
                <w:sz w:val="22"/>
                <w:szCs w:val="22"/>
              </w:rPr>
              <w:t>) the GDPR, the LED and any applicable national implementing Laws as amended from time to time (ii) the Data Protection Act 2018 [subject to Royal Assent] to the extent that it relates to processing of personal data and privacy; (</w:t>
            </w:r>
            <w:proofErr w:type="spellStart"/>
            <w:r>
              <w:rPr>
                <w:color w:val="000000"/>
                <w:sz w:val="22"/>
                <w:szCs w:val="22"/>
              </w:rPr>
              <w:t>iiii</w:t>
            </w:r>
            <w:proofErr w:type="spellEnd"/>
            <w:r>
              <w:rPr>
                <w:color w:val="000000"/>
                <w:sz w:val="22"/>
                <w:szCs w:val="22"/>
              </w:rPr>
              <w:t>) all applicable Law about the processing of personal data and privacy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"Data Protection Officer"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the GDPR;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"Data Subject"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the GDPR;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"Data Subject Access Request"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request made by, or on behalf of, a Data Subject in accordance with rights granted pursuant to the Data Protection Legislation to access their Personal Data;</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"Deductions"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all KPI Credits, Delay Payments or any other deduction which the Buyer is paid or is payable to the Buyer under a Call-Off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"Default"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"Default Management Charge"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Paragraph 7.1.1 of Framework Schedule 5 (Management Charges and Information);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"Delay Payments"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amounts (if any) payable by the Supplier to the Buyer in respect of a delay in respect of a Milestone as specified in the Mobilisation Plan;</w:t>
            </w: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"Deliverables"</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Goods and/or Services that may be ordered under the Contract including the Documentation; </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"Delivery"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delivery</w:t>
            </w:r>
            <w:proofErr w:type="gramEnd"/>
            <w:r>
              <w:rPr>
                <w:color w:val="000000"/>
                <w:sz w:val="22"/>
                <w:szCs w:val="22"/>
              </w:rPr>
              <w:t xml:space="preserve">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Pr>
                <w:b/>
                <w:color w:val="000000"/>
                <w:sz w:val="22"/>
                <w:szCs w:val="22"/>
              </w:rPr>
              <w:t>Deliver</w:t>
            </w:r>
            <w:r>
              <w:rPr>
                <w:color w:val="000000"/>
                <w:sz w:val="22"/>
                <w:szCs w:val="22"/>
              </w:rPr>
              <w:t>" and "</w:t>
            </w:r>
            <w:r>
              <w:rPr>
                <w:b/>
                <w:color w:val="000000"/>
                <w:sz w:val="22"/>
                <w:szCs w:val="22"/>
              </w:rPr>
              <w:t>Delivered</w:t>
            </w:r>
            <w:r>
              <w:rPr>
                <w:color w:val="000000"/>
                <w:sz w:val="22"/>
                <w:szCs w:val="22"/>
              </w:rPr>
              <w:t>" shall be construed accordingly;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"Disaster"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Pr>
                <w:b/>
                <w:color w:val="000000"/>
                <w:sz w:val="22"/>
                <w:szCs w:val="22"/>
              </w:rPr>
              <w:t>"Disaster Period</w:t>
            </w:r>
            <w:r>
              <w:rPr>
                <w:color w:val="000000"/>
                <w:sz w:val="22"/>
                <w:szCs w:val="22"/>
              </w:rPr>
              <w:t>");</w:t>
            </w:r>
          </w:p>
        </w:tc>
      </w:tr>
      <w:tr w:rsidR="004A21BD">
        <w:tc>
          <w:tcPr>
            <w:tcW w:w="2877" w:type="dxa"/>
            <w:shd w:val="clear" w:color="auto" w:fill="auto"/>
            <w:vAlign w:val="center"/>
          </w:tcPr>
          <w:p w:rsidR="004A21BD" w:rsidRDefault="00F00477">
            <w:pPr>
              <w:ind w:left="72"/>
              <w:jc w:val="center"/>
              <w:rPr>
                <w:b/>
              </w:rPr>
            </w:pPr>
            <w:r>
              <w:rPr>
                <w:b/>
              </w:rPr>
              <w:t>"Disaster Recovery Deliverables"</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Deliverables embodied in the processes and procedures for restoring the provision of Deliverables following the occurrence of a Disaster;</w:t>
            </w:r>
          </w:p>
        </w:tc>
      </w:tr>
      <w:tr w:rsidR="004A21BD">
        <w:tc>
          <w:tcPr>
            <w:tcW w:w="2877" w:type="dxa"/>
            <w:shd w:val="clear" w:color="auto" w:fill="auto"/>
            <w:vAlign w:val="center"/>
          </w:tcPr>
          <w:p w:rsidR="004A21BD" w:rsidRDefault="00F00477">
            <w:pPr>
              <w:ind w:left="72"/>
              <w:jc w:val="center"/>
              <w:rPr>
                <w:b/>
              </w:rPr>
            </w:pPr>
            <w:r>
              <w:rPr>
                <w:b/>
              </w:rPr>
              <w:t>"Disaster Recovery Plan"</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shall contain the information as per paragraph 4.2 of Section 4  of Call Off Schedule 8;</w:t>
            </w:r>
          </w:p>
        </w:tc>
      </w:tr>
      <w:tr w:rsidR="004A21BD">
        <w:tc>
          <w:tcPr>
            <w:tcW w:w="2877" w:type="dxa"/>
            <w:shd w:val="clear" w:color="auto" w:fill="auto"/>
            <w:vAlign w:val="center"/>
          </w:tcPr>
          <w:p w:rsidR="004A21BD" w:rsidRDefault="00F00477">
            <w:pPr>
              <w:ind w:left="72"/>
              <w:jc w:val="center"/>
              <w:rPr>
                <w:b/>
              </w:rPr>
            </w:pPr>
            <w:r>
              <w:rPr>
                <w:b/>
              </w:rPr>
              <w:t>"Disaster Recovery System"</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system embodied in the processes and procedures for restoring the provision of Deliverables following the occurrence of a Disaster;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"Disclosing Party"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Party directly or indirectly providing Confidential Information to the other Party in accordance with Core Terms clause 15 (What you must keep confidential);</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"Dispute"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"Dispute Resolution Procedure"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dispute resolution procedure set out in Core Terms clause 34 (Resolving disputes);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"Documentation"</w:t>
            </w:r>
          </w:p>
        </w:tc>
        <w:tc>
          <w:tcPr>
            <w:tcW w:w="6139" w:type="dxa"/>
            <w:vAlign w:val="center"/>
          </w:tcPr>
          <w:p w:rsidR="004A21BD" w:rsidRDefault="00F00477">
            <w:pPr>
              <w:pBdr>
                <w:top w:val="nil"/>
                <w:left w:val="nil"/>
                <w:bottom w:val="nil"/>
                <w:right w:val="nil"/>
                <w:between w:val="nil"/>
              </w:pBdr>
              <w:tabs>
                <w:tab w:val="left" w:pos="144"/>
              </w:tabs>
              <w:spacing w:after="120"/>
              <w:ind w:left="175"/>
              <w:rPr>
                <w:color w:val="000000"/>
                <w:sz w:val="22"/>
                <w:szCs w:val="22"/>
              </w:rPr>
            </w:pPr>
            <w:r>
              <w:rPr>
                <w:color w:val="000000"/>
                <w:sz w:val="22"/>
                <w:szCs w:val="22"/>
              </w:rPr>
              <w:t xml:space="preserve">descriptions of the Services and KPIs, technical specifications, user manuals, training manuals, operating manuals, process definitions and procedures, system environment descriptions and all such other documentation (whether in hardcopy or </w:t>
            </w:r>
            <w:r>
              <w:rPr>
                <w:color w:val="000000"/>
                <w:sz w:val="22"/>
                <w:szCs w:val="22"/>
              </w:rPr>
              <w:lastRenderedPageBreak/>
              <w:t>electronic form) is required to be supplied by the Supplier to the Buyer under a Contract as: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would reasonably be required by a competent third party capable of Good Industry Practice contracted by the Buyer to develop, configure, build, deploy, run, maintain, upgrade and test the individual systems that provide the Deliverables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is required by the Supplier in order to provide the Deliverables; and/or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has been or shall be generated for the purpose of providing the Deliverables;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"DOTAS"</w:t>
            </w:r>
          </w:p>
        </w:tc>
        <w:tc>
          <w:tcPr>
            <w:tcW w:w="6139" w:type="dxa"/>
            <w:vAlign w:val="center"/>
          </w:tcPr>
          <w:p w:rsidR="004A21BD" w:rsidRDefault="00F00477">
            <w:pPr>
              <w:pBdr>
                <w:top w:val="nil"/>
                <w:left w:val="nil"/>
                <w:bottom w:val="nil"/>
                <w:right w:val="nil"/>
                <w:between w:val="nil"/>
              </w:pBdr>
              <w:tabs>
                <w:tab w:val="left" w:pos="144"/>
              </w:tabs>
              <w:spacing w:after="120"/>
              <w:ind w:left="175"/>
              <w:rPr>
                <w:color w:val="000000"/>
                <w:sz w:val="22"/>
                <w:szCs w:val="22"/>
              </w:rPr>
            </w:pPr>
            <w:r>
              <w:rPr>
                <w:color w:val="000000"/>
                <w:sz w:val="22"/>
                <w:szCs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"Due Diligence Information"</w:t>
            </w:r>
          </w:p>
        </w:tc>
        <w:tc>
          <w:tcPr>
            <w:tcW w:w="6139" w:type="dxa"/>
            <w:vAlign w:val="center"/>
          </w:tcPr>
          <w:p w:rsidR="004A21BD" w:rsidRDefault="00F00477">
            <w:pPr>
              <w:pBdr>
                <w:top w:val="nil"/>
                <w:left w:val="nil"/>
                <w:bottom w:val="nil"/>
                <w:right w:val="nil"/>
                <w:between w:val="nil"/>
              </w:pBdr>
              <w:tabs>
                <w:tab w:val="left" w:pos="144"/>
              </w:tabs>
              <w:spacing w:after="120"/>
              <w:ind w:left="175"/>
              <w:rPr>
                <w:color w:val="000000"/>
                <w:sz w:val="22"/>
                <w:szCs w:val="22"/>
              </w:rPr>
            </w:pPr>
            <w:r>
              <w:rPr>
                <w:color w:val="000000"/>
                <w:sz w:val="22"/>
                <w:szCs w:val="22"/>
              </w:rPr>
              <w:t>any information supplied to the Supplier by or on behalf of the Authority prior to the Start Date;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"Earn Back Amount"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is the earn back amount as calculated in accordance with Call-Off Schedule 14 (Key Performance Indicators);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"Effective Date"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date on which the final Party has signed the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"EIR"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Environmental Information Regulations 2004;</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"Employee Liability"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redundancy payments including contractual or enhanced redundancy costs, termination costs and notice payments;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unfair, wrongful or constructive dismissal compensation;</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compensation for discrimination on grounds of  sex, race, disability, age, religion or belief, gender reassignment, marriage or civil partnership, pregnancy and maternity  or sexual orientation or claims for equal pay;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compensation for less favourable treatment of part-time workers or fixed term employees;</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lastRenderedPageBreak/>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claims whether in tort, contract or statute or otherwise;</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investigation by the Equality and Human Rights Commission or other enforcement, regulatory or supervisory body and of implementing any requirements which may arise from such investigation;</w:t>
            </w:r>
          </w:p>
          <w:p w:rsidR="004A21BD" w:rsidRDefault="004A21BD">
            <w:pPr>
              <w:numPr>
                <w:ilvl w:val="0"/>
                <w:numId w:val="4"/>
              </w:numPr>
              <w:pBdr>
                <w:top w:val="nil"/>
                <w:left w:val="nil"/>
                <w:bottom w:val="nil"/>
                <w:right w:val="nil"/>
                <w:between w:val="nil"/>
              </w:pBdr>
              <w:tabs>
                <w:tab w:val="left" w:pos="-9"/>
              </w:tabs>
              <w:spacing w:after="120"/>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"Employer Pension Contribution Cap"</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6% maximum rate of employer pension contribution used in the calculation of the TUPE Risk Premium;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"Employment Regulations"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Transfer of Undertakings (Protection of Employment) Regulations 2006 (SI 2006/246) as amended or replaced or any other Regulations implementing the European Council Directive 77/187/EEC;</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"End Date"</w:t>
            </w:r>
          </w:p>
        </w:tc>
        <w:tc>
          <w:tcPr>
            <w:tcW w:w="6139" w:type="dxa"/>
            <w:vAlign w:val="center"/>
          </w:tcPr>
          <w:p w:rsidR="004A21BD" w:rsidRDefault="00F00477">
            <w:pPr>
              <w:pBdr>
                <w:top w:val="nil"/>
                <w:left w:val="nil"/>
                <w:bottom w:val="nil"/>
                <w:right w:val="nil"/>
                <w:between w:val="nil"/>
              </w:pBdr>
              <w:tabs>
                <w:tab w:val="left" w:pos="144"/>
              </w:tabs>
              <w:spacing w:after="120"/>
              <w:ind w:firstLine="141"/>
              <w:rPr>
                <w:color w:val="000000"/>
                <w:sz w:val="22"/>
                <w:szCs w:val="22"/>
              </w:rPr>
            </w:pPr>
            <w:r>
              <w:rPr>
                <w:color w:val="000000"/>
                <w:sz w:val="22"/>
                <w:szCs w:val="22"/>
              </w:rPr>
              <w:t>the earlier of:</w:t>
            </w:r>
          </w:p>
          <w:p w:rsidR="004A21BD" w:rsidRDefault="00F00477">
            <w:pPr>
              <w:numPr>
                <w:ilvl w:val="1"/>
                <w:numId w:val="4"/>
              </w:numPr>
              <w:pBdr>
                <w:top w:val="nil"/>
                <w:left w:val="nil"/>
                <w:bottom w:val="nil"/>
                <w:right w:val="nil"/>
                <w:between w:val="nil"/>
              </w:pBdr>
              <w:tabs>
                <w:tab w:val="left" w:pos="144"/>
              </w:tabs>
              <w:spacing w:after="120"/>
              <w:ind w:hanging="291"/>
              <w:rPr>
                <w:sz w:val="22"/>
                <w:szCs w:val="22"/>
              </w:rPr>
            </w:pPr>
            <w:r>
              <w:rPr>
                <w:color w:val="000000"/>
                <w:sz w:val="22"/>
                <w:szCs w:val="22"/>
              </w:rPr>
              <w:t>the Expiry Date (as extended by any Extension Period exercised by the Authority under Core Terms clause 10.2); or</w:t>
            </w:r>
          </w:p>
          <w:p w:rsidR="004A21BD" w:rsidRDefault="00F00477">
            <w:pPr>
              <w:numPr>
                <w:ilvl w:val="1"/>
                <w:numId w:val="4"/>
              </w:numPr>
              <w:pBdr>
                <w:top w:val="nil"/>
                <w:left w:val="nil"/>
                <w:bottom w:val="nil"/>
                <w:right w:val="nil"/>
                <w:between w:val="nil"/>
              </w:pBdr>
              <w:tabs>
                <w:tab w:val="left" w:pos="144"/>
              </w:tabs>
              <w:spacing w:after="120"/>
              <w:ind w:hanging="291"/>
              <w:rPr>
                <w:sz w:val="22"/>
                <w:szCs w:val="22"/>
              </w:rPr>
            </w:pPr>
            <w:r>
              <w:rPr>
                <w:color w:val="000000"/>
                <w:sz w:val="22"/>
                <w:szCs w:val="22"/>
              </w:rPr>
              <w:t>if a Contract is terminated before the date specified in (a) above, the date of termination of the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"Environmental Policy"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"Equality and Human Rights Commission"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UK Government body named as such as may be renamed or replaced by an equivalent body from time to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"Equipment Beyond Economic Repair"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see Beyond Economic Repair"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“Estimated Year One Contract Charges”</w:t>
            </w:r>
          </w:p>
        </w:tc>
        <w:tc>
          <w:tcPr>
            <w:tcW w:w="6139" w:type="dxa"/>
            <w:vAlign w:val="center"/>
          </w:tcPr>
          <w:p w:rsidR="004A21BD" w:rsidRDefault="00F00477" w:rsidP="006111AA">
            <w:pPr>
              <w:pBdr>
                <w:top w:val="nil"/>
                <w:left w:val="nil"/>
                <w:bottom w:val="nil"/>
                <w:right w:val="nil"/>
                <w:between w:val="nil"/>
              </w:pBdr>
              <w:tabs>
                <w:tab w:val="left" w:pos="144"/>
              </w:tabs>
              <w:spacing w:after="120"/>
              <w:ind w:left="144"/>
              <w:rPr>
                <w:color w:val="000000"/>
                <w:sz w:val="22"/>
                <w:szCs w:val="22"/>
              </w:rPr>
            </w:pPr>
            <w:r>
              <w:rPr>
                <w:color w:val="222222"/>
                <w:sz w:val="22"/>
                <w:szCs w:val="22"/>
                <w:highlight w:val="white"/>
              </w:rPr>
              <w:t xml:space="preserve">  the anticipated total charges payable by the </w:t>
            </w:r>
            <w:r w:rsidR="006111AA">
              <w:rPr>
                <w:color w:val="222222"/>
                <w:sz w:val="22"/>
                <w:szCs w:val="22"/>
                <w:highlight w:val="white"/>
              </w:rPr>
              <w:t>Buyer</w:t>
            </w:r>
            <w:r>
              <w:rPr>
                <w:color w:val="222222"/>
                <w:sz w:val="22"/>
                <w:szCs w:val="22"/>
                <w:highlight w:val="white"/>
              </w:rPr>
              <w:t xml:space="preserve"> in the first Contract Year specified in the Call-Off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“Estimated Yearly Charge”</w:t>
            </w:r>
          </w:p>
        </w:tc>
        <w:tc>
          <w:tcPr>
            <w:tcW w:w="6139" w:type="dxa"/>
            <w:vAlign w:val="center"/>
          </w:tcPr>
          <w:p w:rsidR="004A21BD" w:rsidRDefault="00F00477">
            <w:pPr>
              <w:pBdr>
                <w:top w:val="nil"/>
                <w:left w:val="nil"/>
                <w:bottom w:val="nil"/>
                <w:right w:val="nil"/>
                <w:between w:val="nil"/>
              </w:pBdr>
              <w:shd w:val="clear" w:color="auto" w:fill="FFFFFF"/>
              <w:spacing w:before="100" w:after="100"/>
              <w:ind w:left="170"/>
              <w:rPr>
                <w:color w:val="222222"/>
              </w:rPr>
            </w:pPr>
            <w:r>
              <w:rPr>
                <w:color w:val="222222"/>
              </w:rPr>
              <w:t>    means for the purposes of calculating each Party’s annual liability under clause 11.2  in relation to defaults:</w:t>
            </w:r>
          </w:p>
          <w:p w:rsidR="004A21BD" w:rsidRDefault="00F00477">
            <w:pPr>
              <w:pBdr>
                <w:top w:val="nil"/>
                <w:left w:val="nil"/>
                <w:bottom w:val="nil"/>
                <w:right w:val="nil"/>
                <w:between w:val="nil"/>
              </w:pBdr>
              <w:shd w:val="clear" w:color="auto" w:fill="FFFFFF"/>
              <w:spacing w:before="100" w:after="100"/>
              <w:ind w:left="170"/>
              <w:rPr>
                <w:color w:val="222222"/>
              </w:rPr>
            </w:pPr>
            <w:r>
              <w:rPr>
                <w:color w:val="222222"/>
              </w:rPr>
              <w:t> </w:t>
            </w:r>
            <w:proofErr w:type="spellStart"/>
            <w:r>
              <w:rPr>
                <w:color w:val="222222"/>
              </w:rPr>
              <w:t>i</w:t>
            </w:r>
            <w:proofErr w:type="spellEnd"/>
            <w:r>
              <w:rPr>
                <w:color w:val="222222"/>
              </w:rPr>
              <w:t>)  in the first Contract Year, the Estimated Year 1 Contract Charges; or</w:t>
            </w:r>
          </w:p>
          <w:p w:rsidR="004A21BD" w:rsidRDefault="00F00477">
            <w:pPr>
              <w:pBdr>
                <w:top w:val="nil"/>
                <w:left w:val="nil"/>
                <w:bottom w:val="nil"/>
                <w:right w:val="nil"/>
                <w:between w:val="nil"/>
              </w:pBdr>
              <w:shd w:val="clear" w:color="auto" w:fill="FFFFFF"/>
              <w:spacing w:before="100" w:after="100"/>
              <w:ind w:left="170"/>
              <w:rPr>
                <w:color w:val="222222"/>
              </w:rPr>
            </w:pPr>
            <w:r>
              <w:rPr>
                <w:color w:val="222222"/>
              </w:rPr>
              <w:t> ii) in the any subsequent Contract Years, the Charges paid or payable in the previous Call-off Contract Year;</w:t>
            </w:r>
          </w:p>
          <w:p w:rsidR="004A21BD" w:rsidRDefault="00F00477">
            <w:pPr>
              <w:pBdr>
                <w:top w:val="nil"/>
                <w:left w:val="nil"/>
                <w:bottom w:val="nil"/>
                <w:right w:val="nil"/>
                <w:between w:val="nil"/>
              </w:pBdr>
              <w:shd w:val="clear" w:color="auto" w:fill="FFFFFF"/>
              <w:spacing w:before="100" w:after="100"/>
              <w:rPr>
                <w:color w:val="222222"/>
              </w:rPr>
            </w:pPr>
            <w:r>
              <w:rPr>
                <w:color w:val="222222"/>
              </w:rPr>
              <w:lastRenderedPageBreak/>
              <w:t xml:space="preserve">     iii) </w:t>
            </w:r>
            <w:proofErr w:type="gramStart"/>
            <w:r>
              <w:rPr>
                <w:color w:val="222222"/>
              </w:rPr>
              <w:t>after</w:t>
            </w:r>
            <w:proofErr w:type="gramEnd"/>
            <w:r>
              <w:rPr>
                <w:color w:val="222222"/>
              </w:rPr>
              <w:t xml:space="preserve"> the end of the Call Off Contract, the largest Charges paid or payable in the last Contract Year during the Call Off Contract Period.</w:t>
            </w:r>
          </w:p>
          <w:p w:rsidR="004A21BD" w:rsidRDefault="004A21BD">
            <w:pPr>
              <w:pBdr>
                <w:top w:val="nil"/>
                <w:left w:val="nil"/>
                <w:bottom w:val="nil"/>
                <w:right w:val="nil"/>
                <w:between w:val="nil"/>
              </w:pBdr>
              <w:tabs>
                <w:tab w:val="left" w:pos="144"/>
              </w:tabs>
              <w:spacing w:after="120"/>
              <w:ind w:left="144"/>
              <w:rPr>
                <w:color w:val="000000"/>
                <w:sz w:val="22"/>
                <w:szCs w:val="22"/>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"Exclusive Assets"</w:t>
            </w:r>
          </w:p>
        </w:tc>
        <w:tc>
          <w:tcPr>
            <w:tcW w:w="6139" w:type="dxa"/>
            <w:vAlign w:val="center"/>
          </w:tcPr>
          <w:p w:rsidR="004A21BD" w:rsidRDefault="00F00477">
            <w:pPr>
              <w:pBdr>
                <w:top w:val="nil"/>
                <w:left w:val="nil"/>
                <w:bottom w:val="nil"/>
                <w:right w:val="nil"/>
                <w:between w:val="nil"/>
              </w:pBdr>
              <w:tabs>
                <w:tab w:val="left" w:pos="144"/>
              </w:tabs>
              <w:spacing w:after="120"/>
              <w:ind w:left="144"/>
              <w:rPr>
                <w:color w:val="000000"/>
                <w:sz w:val="22"/>
                <w:szCs w:val="22"/>
              </w:rPr>
            </w:pPr>
            <w:r>
              <w:rPr>
                <w:color w:val="000000"/>
                <w:sz w:val="22"/>
                <w:szCs w:val="22"/>
              </w:rPr>
              <w:t>Supplier Assets used exclusively by the Supplier[ or a Key Subcontractor] in the provision of the Deliverables;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"Existing IPR"</w:t>
            </w:r>
          </w:p>
        </w:tc>
        <w:tc>
          <w:tcPr>
            <w:tcW w:w="6139" w:type="dxa"/>
            <w:vAlign w:val="center"/>
          </w:tcPr>
          <w:p w:rsidR="004A21BD" w:rsidRDefault="00F00477">
            <w:pPr>
              <w:pBdr>
                <w:top w:val="nil"/>
                <w:left w:val="nil"/>
                <w:bottom w:val="nil"/>
                <w:right w:val="nil"/>
                <w:between w:val="nil"/>
              </w:pBdr>
              <w:tabs>
                <w:tab w:val="left" w:pos="144"/>
              </w:tabs>
              <w:spacing w:after="120"/>
              <w:ind w:left="144"/>
              <w:rPr>
                <w:color w:val="000000"/>
                <w:sz w:val="22"/>
                <w:szCs w:val="22"/>
              </w:rPr>
            </w:pPr>
            <w:r>
              <w:rPr>
                <w:color w:val="222222"/>
                <w:sz w:val="22"/>
                <w:szCs w:val="22"/>
                <w:highlight w:val="white"/>
              </w:rPr>
              <w:t>any and all IPR that are owned by or licensed to either Party and which are or have been developed independently of the Contract (whether prior to the Start Date or otherwise);</w:t>
            </w:r>
          </w:p>
        </w:tc>
      </w:tr>
      <w:tr w:rsidR="004A21BD">
        <w:tc>
          <w:tcPr>
            <w:tcW w:w="2877" w:type="dxa"/>
            <w:shd w:val="clear" w:color="auto" w:fill="auto"/>
          </w:tcPr>
          <w:p w:rsidR="004A21BD" w:rsidRDefault="00F00477">
            <w:pPr>
              <w:ind w:left="72"/>
              <w:jc w:val="center"/>
              <w:rPr>
                <w:b/>
              </w:rPr>
            </w:pPr>
            <w:r>
              <w:rPr>
                <w:b/>
              </w:rPr>
              <w:t>"Exit Information"</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Paragraph 3.1 of Call Off Schedule10;</w:t>
            </w:r>
          </w:p>
        </w:tc>
      </w:tr>
      <w:tr w:rsidR="004A21BD">
        <w:tc>
          <w:tcPr>
            <w:tcW w:w="2877" w:type="dxa"/>
            <w:shd w:val="clear" w:color="auto" w:fill="auto"/>
          </w:tcPr>
          <w:p w:rsidR="004A21BD" w:rsidRDefault="00F00477">
            <w:pPr>
              <w:ind w:left="72"/>
              <w:jc w:val="center"/>
              <w:rPr>
                <w:b/>
              </w:rPr>
            </w:pPr>
            <w:r>
              <w:rPr>
                <w:b/>
              </w:rPr>
              <w:t>"Exit Manager"</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person appointed by each Party to manage their respective obligations under Call Off Schedule 10;</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"Expiry Date"</w:t>
            </w:r>
          </w:p>
        </w:tc>
        <w:tc>
          <w:tcPr>
            <w:tcW w:w="6139" w:type="dxa"/>
            <w:vAlign w:val="center"/>
          </w:tcPr>
          <w:p w:rsidR="004A21BD" w:rsidRDefault="00F00477">
            <w:pPr>
              <w:pBdr>
                <w:top w:val="nil"/>
                <w:left w:val="nil"/>
                <w:bottom w:val="nil"/>
                <w:right w:val="nil"/>
                <w:between w:val="nil"/>
              </w:pBdr>
              <w:tabs>
                <w:tab w:val="left" w:pos="144"/>
              </w:tabs>
              <w:spacing w:after="120"/>
              <w:ind w:left="144"/>
              <w:rPr>
                <w:color w:val="000000"/>
                <w:sz w:val="22"/>
                <w:szCs w:val="22"/>
              </w:rPr>
            </w:pPr>
            <w:r>
              <w:rPr>
                <w:color w:val="000000"/>
                <w:sz w:val="22"/>
                <w:szCs w:val="22"/>
              </w:rPr>
              <w:t>the Framework Expiry Date or the Call-Off Expiry Date (as the context dictates);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"Extension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Framework Optional Extension Period or the Call-Off Optional Extension Period as the context dictates;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“Family Accommodation”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Buyer Premises allocated to Service Personnel and their families by the Buyer;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"Fixed Fee TUPE Risk Premium"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amount payable  on an annual basis based on the difference between:</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w:t>
            </w:r>
            <w:r>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w:t>
            </w:r>
            <w:r>
              <w:rPr>
                <w:color w:val="000000"/>
                <w:sz w:val="22"/>
                <w:szCs w:val="22"/>
              </w:rPr>
              <w:tab/>
              <w:t>the equivalent costs to employ staff used by the Supplier at Further Competition,</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in respect of payments due under contracts of employment in respect of the following: </w:t>
            </w:r>
          </w:p>
          <w:p w:rsidR="004A21BD" w:rsidRDefault="00F00477">
            <w:pPr>
              <w:numPr>
                <w:ilvl w:val="0"/>
                <w:numId w:val="4"/>
              </w:numPr>
              <w:pBdr>
                <w:top w:val="nil"/>
                <w:left w:val="nil"/>
                <w:bottom w:val="nil"/>
                <w:right w:val="nil"/>
                <w:between w:val="nil"/>
              </w:pBdr>
              <w:tabs>
                <w:tab w:val="left" w:pos="-9"/>
              </w:tabs>
              <w:spacing w:after="120"/>
              <w:rPr>
                <w:color w:val="000000"/>
              </w:rPr>
            </w:pPr>
            <w:proofErr w:type="spellStart"/>
            <w:r>
              <w:rPr>
                <w:color w:val="000000"/>
                <w:sz w:val="22"/>
                <w:szCs w:val="22"/>
              </w:rPr>
              <w:t>i</w:t>
            </w:r>
            <w:proofErr w:type="spellEnd"/>
            <w:r>
              <w:rPr>
                <w:color w:val="000000"/>
                <w:sz w:val="22"/>
                <w:szCs w:val="22"/>
              </w:rPr>
              <w:t>)</w:t>
            </w:r>
            <w:r>
              <w:rPr>
                <w:color w:val="000000"/>
                <w:sz w:val="22"/>
                <w:szCs w:val="22"/>
              </w:rPr>
              <w:tab/>
              <w:t>annual salary;</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ii)</w:t>
            </w:r>
            <w:r>
              <w:rPr>
                <w:color w:val="000000"/>
                <w:sz w:val="22"/>
                <w:szCs w:val="22"/>
              </w:rPr>
              <w:tab/>
              <w:t>annual national insurance cost;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iii)</w:t>
            </w:r>
            <w:r>
              <w:rPr>
                <w:color w:val="000000"/>
                <w:sz w:val="22"/>
                <w:szCs w:val="22"/>
              </w:rPr>
              <w:tab/>
              <w:t>Annual Pension Cost;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iv)</w:t>
            </w:r>
            <w:r>
              <w:rPr>
                <w:color w:val="000000"/>
                <w:sz w:val="22"/>
                <w:szCs w:val="22"/>
              </w:rPr>
              <w:tab/>
              <w:t>annual life insurance cost;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v)</w:t>
            </w:r>
            <w:r>
              <w:rPr>
                <w:color w:val="000000"/>
                <w:sz w:val="22"/>
                <w:szCs w:val="22"/>
              </w:rPr>
              <w:tab/>
              <w:t>annual sick pay entitlement;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vi)</w:t>
            </w:r>
            <w:r>
              <w:rPr>
                <w:color w:val="000000"/>
                <w:sz w:val="22"/>
                <w:szCs w:val="22"/>
              </w:rPr>
              <w:tab/>
              <w:t>maternity/paternity costs; and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vii)</w:t>
            </w:r>
            <w:r>
              <w:rPr>
                <w:color w:val="000000"/>
                <w:sz w:val="22"/>
                <w:szCs w:val="22"/>
              </w:rPr>
              <w:tab/>
              <w:t xml:space="preserve">any other cost arising directly from the contract of employment of the Transferring Former Supplier Employee and or Transferring Buyer Employee,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lastRenderedPageBreak/>
              <w:t>as set out in paragraph 3 of Call Off Schedule 6 (TUPE Surcharge);</w:t>
            </w:r>
          </w:p>
          <w:p w:rsidR="004A21BD" w:rsidRDefault="004A21BD">
            <w:pPr>
              <w:numPr>
                <w:ilvl w:val="0"/>
                <w:numId w:val="4"/>
              </w:numPr>
              <w:pBdr>
                <w:top w:val="nil"/>
                <w:left w:val="nil"/>
                <w:bottom w:val="nil"/>
                <w:right w:val="nil"/>
                <w:between w:val="nil"/>
              </w:pBdr>
              <w:tabs>
                <w:tab w:val="left" w:pos="-9"/>
              </w:tabs>
              <w:spacing w:after="120"/>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"FOIA"</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"Force Majeure Event"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any event, </w:t>
            </w:r>
            <w:r>
              <w:rPr>
                <w:sz w:val="22"/>
                <w:szCs w:val="22"/>
              </w:rPr>
              <w:t>cause or</w:t>
            </w:r>
            <w:r>
              <w:rPr>
                <w:color w:val="000000"/>
                <w:sz w:val="22"/>
                <w:szCs w:val="22"/>
              </w:rPr>
              <w:t xml:space="preserve"> circumstance</w:t>
            </w:r>
            <w:r>
              <w:rPr>
                <w:sz w:val="22"/>
                <w:szCs w:val="22"/>
              </w:rPr>
              <w:t xml:space="preserve"> which is beyond the reasonable control of the Affected Party which prevents or materially delays the Affected Party from performing its obligations under a Contract but which are not substantially attributable to:</w:t>
            </w:r>
          </w:p>
          <w:p w:rsidR="004A21BD" w:rsidRDefault="00F00477">
            <w:pPr>
              <w:pBdr>
                <w:top w:val="nil"/>
                <w:left w:val="nil"/>
                <w:bottom w:val="nil"/>
                <w:right w:val="nil"/>
                <w:between w:val="nil"/>
              </w:pBdr>
              <w:tabs>
                <w:tab w:val="left" w:pos="-9"/>
              </w:tabs>
              <w:spacing w:after="120"/>
              <w:rPr>
                <w:sz w:val="22"/>
                <w:szCs w:val="22"/>
              </w:rPr>
            </w:pPr>
            <w:r>
              <w:rPr>
                <w:sz w:val="22"/>
                <w:szCs w:val="22"/>
              </w:rPr>
              <w:t>a)the other Party; or</w:t>
            </w:r>
          </w:p>
          <w:p w:rsidR="004A21BD" w:rsidRDefault="00F00477">
            <w:pPr>
              <w:pBdr>
                <w:top w:val="nil"/>
                <w:left w:val="nil"/>
                <w:bottom w:val="nil"/>
                <w:right w:val="nil"/>
                <w:between w:val="nil"/>
              </w:pBdr>
              <w:tabs>
                <w:tab w:val="left" w:pos="-9"/>
              </w:tabs>
              <w:spacing w:after="120"/>
              <w:rPr>
                <w:sz w:val="22"/>
                <w:szCs w:val="22"/>
              </w:rPr>
            </w:pPr>
            <w:r>
              <w:rPr>
                <w:sz w:val="22"/>
                <w:szCs w:val="22"/>
              </w:rPr>
              <w:t xml:space="preserve">b) </w:t>
            </w:r>
            <w:proofErr w:type="gramStart"/>
            <w:r>
              <w:rPr>
                <w:sz w:val="22"/>
                <w:szCs w:val="22"/>
              </w:rPr>
              <w:t>any</w:t>
            </w:r>
            <w:proofErr w:type="gramEnd"/>
            <w:r>
              <w:rPr>
                <w:sz w:val="22"/>
                <w:szCs w:val="22"/>
              </w:rPr>
              <w:t xml:space="preserve"> </w:t>
            </w:r>
            <w:proofErr w:type="spellStart"/>
            <w:r>
              <w:rPr>
                <w:sz w:val="22"/>
                <w:szCs w:val="22"/>
              </w:rPr>
              <w:t>willful</w:t>
            </w:r>
            <w:proofErr w:type="spellEnd"/>
            <w:r>
              <w:rPr>
                <w:sz w:val="22"/>
                <w:szCs w:val="22"/>
              </w:rPr>
              <w:t xml:space="preserve"> act, </w:t>
            </w:r>
            <w:proofErr w:type="spellStart"/>
            <w:r>
              <w:rPr>
                <w:sz w:val="22"/>
                <w:szCs w:val="22"/>
              </w:rPr>
              <w:t>breach,neglect</w:t>
            </w:r>
            <w:proofErr w:type="spellEnd"/>
            <w:r>
              <w:rPr>
                <w:sz w:val="22"/>
                <w:szCs w:val="22"/>
              </w:rPr>
              <w:t xml:space="preserve"> or failure by the Affected Party.</w:t>
            </w:r>
          </w:p>
          <w:p w:rsidR="004A21BD" w:rsidRDefault="00F00477">
            <w:pPr>
              <w:pBdr>
                <w:top w:val="nil"/>
                <w:left w:val="nil"/>
                <w:bottom w:val="nil"/>
                <w:right w:val="nil"/>
                <w:between w:val="nil"/>
              </w:pBdr>
              <w:tabs>
                <w:tab w:val="left" w:pos="-9"/>
              </w:tabs>
              <w:spacing w:after="120"/>
              <w:rPr>
                <w:color w:val="000000"/>
                <w:sz w:val="22"/>
                <w:szCs w:val="22"/>
              </w:rPr>
            </w:pPr>
            <w:r>
              <w:rPr>
                <w:sz w:val="22"/>
                <w:szCs w:val="22"/>
              </w:rPr>
              <w:br/>
              <w:t xml:space="preserve">Force Majeure vents </w:t>
            </w:r>
            <w:proofErr w:type="spellStart"/>
            <w:r>
              <w:rPr>
                <w:sz w:val="22"/>
                <w:szCs w:val="22"/>
              </w:rPr>
              <w:t>include,without</w:t>
            </w:r>
            <w:proofErr w:type="spellEnd"/>
            <w:r>
              <w:rPr>
                <w:sz w:val="22"/>
                <w:szCs w:val="22"/>
              </w:rPr>
              <w:t xml:space="preserve"> limitation:</w:t>
            </w:r>
          </w:p>
          <w:p w:rsidR="004A21BD" w:rsidRDefault="00F00477">
            <w:pPr>
              <w:pBdr>
                <w:top w:val="nil"/>
                <w:left w:val="nil"/>
                <w:bottom w:val="nil"/>
                <w:right w:val="nil"/>
                <w:between w:val="nil"/>
              </w:pBdr>
              <w:tabs>
                <w:tab w:val="left" w:pos="144"/>
              </w:tabs>
              <w:spacing w:after="120"/>
              <w:rPr>
                <w:color w:val="000000"/>
                <w:sz w:val="22"/>
                <w:szCs w:val="22"/>
              </w:rPr>
            </w:pPr>
            <w:r>
              <w:rPr>
                <w:sz w:val="22"/>
                <w:szCs w:val="22"/>
              </w:rPr>
              <w:t xml:space="preserve">c) </w:t>
            </w:r>
            <w:r>
              <w:rPr>
                <w:color w:val="000000"/>
                <w:sz w:val="22"/>
                <w:szCs w:val="22"/>
              </w:rPr>
              <w:t>riots, civil commotion, war or armed conflict, acts of terrorism, nuclear, biological or chemical warfare;</w:t>
            </w:r>
          </w:p>
          <w:p w:rsidR="004A21BD" w:rsidRDefault="00F00477">
            <w:pPr>
              <w:pBdr>
                <w:top w:val="nil"/>
                <w:left w:val="nil"/>
                <w:bottom w:val="nil"/>
                <w:right w:val="nil"/>
                <w:between w:val="nil"/>
              </w:pBdr>
              <w:tabs>
                <w:tab w:val="left" w:pos="144"/>
              </w:tabs>
              <w:spacing w:after="120"/>
              <w:rPr>
                <w:color w:val="000000"/>
                <w:sz w:val="22"/>
                <w:szCs w:val="22"/>
              </w:rPr>
            </w:pPr>
            <w:r>
              <w:rPr>
                <w:sz w:val="22"/>
                <w:szCs w:val="22"/>
              </w:rPr>
              <w:t xml:space="preserve">d) </w:t>
            </w:r>
            <w:r>
              <w:rPr>
                <w:color w:val="000000"/>
                <w:sz w:val="22"/>
                <w:szCs w:val="22"/>
              </w:rPr>
              <w:t>acts of a Crown Body, local government or regulatory bodies;</w:t>
            </w:r>
          </w:p>
          <w:p w:rsidR="004A21BD" w:rsidRDefault="00F00477">
            <w:pPr>
              <w:pBdr>
                <w:top w:val="nil"/>
                <w:left w:val="nil"/>
                <w:bottom w:val="nil"/>
                <w:right w:val="nil"/>
                <w:between w:val="nil"/>
              </w:pBdr>
              <w:tabs>
                <w:tab w:val="left" w:pos="144"/>
              </w:tabs>
              <w:spacing w:after="120"/>
              <w:rPr>
                <w:color w:val="000000"/>
                <w:sz w:val="22"/>
                <w:szCs w:val="22"/>
              </w:rPr>
            </w:pPr>
            <w:r>
              <w:rPr>
                <w:sz w:val="22"/>
                <w:szCs w:val="22"/>
              </w:rPr>
              <w:t xml:space="preserve">e) </w:t>
            </w:r>
            <w:r>
              <w:rPr>
                <w:color w:val="000000"/>
                <w:sz w:val="22"/>
                <w:szCs w:val="22"/>
              </w:rPr>
              <w:t>fire, flood or any disaster; or</w:t>
            </w:r>
          </w:p>
          <w:p w:rsidR="004A21BD" w:rsidRDefault="00F00477">
            <w:pPr>
              <w:pBdr>
                <w:top w:val="nil"/>
                <w:left w:val="nil"/>
                <w:bottom w:val="nil"/>
                <w:right w:val="nil"/>
                <w:between w:val="nil"/>
              </w:pBdr>
              <w:tabs>
                <w:tab w:val="left" w:pos="144"/>
              </w:tabs>
              <w:spacing w:after="120"/>
              <w:rPr>
                <w:color w:val="000000"/>
                <w:sz w:val="22"/>
                <w:szCs w:val="22"/>
              </w:rPr>
            </w:pPr>
            <w:r>
              <w:rPr>
                <w:sz w:val="22"/>
                <w:szCs w:val="22"/>
              </w:rPr>
              <w:t xml:space="preserve">f) </w:t>
            </w:r>
            <w:r>
              <w:rPr>
                <w:color w:val="000000"/>
                <w:sz w:val="22"/>
                <w:szCs w:val="22"/>
              </w:rPr>
              <w:t>an industrial dispute affecting a third party for which a substitute third party is not reasonably available but excluding:</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any industrial dispute relating to the Supplier, the Supplier Staff (including any subsets of them) or any other failure in the Supplier or the Subcontractor's supply chain;</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any event, occurrence, circumstance, matter or cause which is attributable to the wilful act, neglect or failure to take reasonable precautions against it by the Party concerned; and</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any failure of delay caused by a lack of funds;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"Force Majeure Notice"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written notice served by the Affected Party on the other Party stating that the Affected Party believes that there is a Force Majeure Event;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"Former Supplier"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“Forward Maintenance Register”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means</w:t>
            </w:r>
            <w:proofErr w:type="gramEnd"/>
            <w:r>
              <w:rPr>
                <w:color w:val="000000"/>
                <w:sz w:val="22"/>
                <w:szCs w:val="22"/>
              </w:rPr>
              <w:t xml:space="preserve">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 and long term maintenance requirements and renewal works activities over the course of the maintenance contract, including any hand back obligations where necessary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Award Form"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document outlining the Framework Incorporated Terms and crucial information required for the Framework Contract, to be executed by the Supplier and CCS;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Contract"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framework agreement established between CCS and the Supplier in accordance with Regulation 33 by the Framework Award Form for the provision of the Deliverables to Buyers by the Supplier pursuant to the OJEU Notice;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Contract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period from the Framework Start Date until the End Date or earlier termination of the Framework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Discount Prices"</w:t>
            </w:r>
          </w:p>
        </w:tc>
        <w:tc>
          <w:tcPr>
            <w:tcW w:w="6139" w:type="dxa"/>
            <w:vAlign w:val="center"/>
          </w:tcPr>
          <w:p w:rsidR="004A21BD" w:rsidRDefault="00F00477">
            <w:pPr>
              <w:pBdr>
                <w:top w:val="nil"/>
                <w:left w:val="nil"/>
                <w:bottom w:val="nil"/>
                <w:right w:val="nil"/>
                <w:between w:val="nil"/>
              </w:pBdr>
              <w:tabs>
                <w:tab w:val="left" w:pos="-9"/>
              </w:tabs>
              <w:spacing w:after="120"/>
              <w:ind w:left="170"/>
              <w:rPr>
                <w:color w:val="000000"/>
                <w:sz w:val="22"/>
                <w:szCs w:val="22"/>
              </w:rPr>
            </w:pPr>
            <w:proofErr w:type="gramStart"/>
            <w:r>
              <w:rPr>
                <w:color w:val="000000"/>
                <w:sz w:val="22"/>
                <w:szCs w:val="22"/>
              </w:rPr>
              <w:t>means</w:t>
            </w:r>
            <w:proofErr w:type="gramEnd"/>
            <w:r>
              <w:rPr>
                <w:color w:val="000000"/>
                <w:sz w:val="22"/>
                <w:szCs w:val="22"/>
              </w:rPr>
              <w:t xml:space="preserve"> the discounted price as per the Pricing Matrix.</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Expiry Date"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date of the end of the Framework Contract as stated in the Framework Award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Incorporated Terms"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contractual terms applicable to the Framework Contract specified in the Framework Award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Initial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initial term of the Framework Contract as specified in the Framework Award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Optional Extension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such period or periods beyond which the Framework Initial Period may be extended up to a maximum of the number of years in total specified in the Framework Award Form;</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Price(s)"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price(s) applicable to the provision of the Deliverables set out in Framework Schedule 3 (Framework Prices);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Special Terms"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additional terms and conditions specified in the Framework Award Form incorporated into the Framework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Start Date"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date of start of the Framework Contract as stated in the Framework Award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"Framework Tender Response"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tender submitted by the Supplier to CCS and annexed to or referred to in Framework Schedule 2 (Framework Tender Response);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“Further Competition”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a competition carried out in accordance with the Further Competition Procedure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“Further Competition Award Criteria”</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means</w:t>
            </w:r>
            <w:proofErr w:type="gramEnd"/>
            <w:r>
              <w:rPr>
                <w:color w:val="000000"/>
                <w:sz w:val="22"/>
                <w:szCs w:val="22"/>
              </w:rPr>
              <w:t xml:space="preserve"> the criteria as defined in Annex B of Framework schedule 7.</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“Further Competition Mobilisation Cost”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Further Competition Mobilisation Cost is priced, competed and evaluated at Further Competition</w:t>
            </w:r>
          </w:p>
          <w:p w:rsidR="004A21BD" w:rsidRDefault="00F00477">
            <w:pPr>
              <w:numPr>
                <w:ilvl w:val="0"/>
                <w:numId w:val="4"/>
              </w:numPr>
              <w:pBdr>
                <w:top w:val="nil"/>
                <w:left w:val="nil"/>
                <w:bottom w:val="nil"/>
                <w:right w:val="nil"/>
                <w:between w:val="nil"/>
              </w:pBdr>
              <w:tabs>
                <w:tab w:val="left" w:pos="-9"/>
              </w:tabs>
              <w:spacing w:after="120"/>
              <w:jc w:val="both"/>
              <w:rPr>
                <w:color w:val="000000"/>
              </w:rPr>
            </w:pPr>
            <w:r>
              <w:rPr>
                <w:color w:val="000000"/>
                <w:sz w:val="22"/>
                <w:szCs w:val="22"/>
              </w:rPr>
              <w:t xml:space="preserve">There is a Buyer option to select the payment term – milestone payments, single payment on completion of mobilisation, payment during first 12 months of contract, or payment through entire contract including an amortisation percentage uplift.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standard Mobilisation term is 6 months but is defined at Further Competition stage</w:t>
            </w:r>
            <w:r>
              <w:rPr>
                <w:rFonts w:ascii="Arial" w:eastAsia="Arial" w:hAnsi="Arial" w:cs="Arial"/>
                <w:color w:val="000000"/>
                <w:sz w:val="22"/>
                <w:szCs w:val="22"/>
              </w:rPr>
              <w: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"Further Competition Procedure"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further competition procedure described in Framework Schedule 7 (Call-Off Procedure and Award Criteria);</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"Further Competition TUPE Risk Premium"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amount payable  on an annual basis based on the difference between:</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w:t>
            </w:r>
            <w:r>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w:t>
            </w:r>
            <w:r>
              <w:rPr>
                <w:color w:val="000000"/>
                <w:sz w:val="22"/>
                <w:szCs w:val="22"/>
              </w:rPr>
              <w:tab/>
              <w:t>the equivalent costs to employ staff used by the Supplier at Further Competition,</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in respect of payments due under contracts of employment in respect of the following: </w:t>
            </w:r>
          </w:p>
          <w:p w:rsidR="004A21BD" w:rsidRDefault="00F00477">
            <w:pPr>
              <w:numPr>
                <w:ilvl w:val="0"/>
                <w:numId w:val="4"/>
              </w:numPr>
              <w:pBdr>
                <w:top w:val="nil"/>
                <w:left w:val="nil"/>
                <w:bottom w:val="nil"/>
                <w:right w:val="nil"/>
                <w:between w:val="nil"/>
              </w:pBdr>
              <w:tabs>
                <w:tab w:val="left" w:pos="-9"/>
              </w:tabs>
              <w:spacing w:after="120"/>
              <w:rPr>
                <w:color w:val="000000"/>
              </w:rPr>
            </w:pPr>
            <w:proofErr w:type="spellStart"/>
            <w:r>
              <w:rPr>
                <w:color w:val="000000"/>
                <w:sz w:val="22"/>
                <w:szCs w:val="22"/>
              </w:rPr>
              <w:t>i</w:t>
            </w:r>
            <w:proofErr w:type="spellEnd"/>
            <w:r>
              <w:rPr>
                <w:color w:val="000000"/>
                <w:sz w:val="22"/>
                <w:szCs w:val="22"/>
              </w:rPr>
              <w:t>)</w:t>
            </w:r>
            <w:r>
              <w:rPr>
                <w:color w:val="000000"/>
                <w:sz w:val="22"/>
                <w:szCs w:val="22"/>
              </w:rPr>
              <w:tab/>
              <w:t>annual salary;</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ii)</w:t>
            </w:r>
            <w:r>
              <w:rPr>
                <w:color w:val="000000"/>
                <w:sz w:val="22"/>
                <w:szCs w:val="22"/>
              </w:rPr>
              <w:tab/>
              <w:t>annual national insurance cost;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iii)</w:t>
            </w:r>
            <w:r>
              <w:rPr>
                <w:color w:val="000000"/>
                <w:sz w:val="22"/>
                <w:szCs w:val="22"/>
              </w:rPr>
              <w:tab/>
              <w:t>Annual Pension Cost;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iv)</w:t>
            </w:r>
            <w:r>
              <w:rPr>
                <w:color w:val="000000"/>
                <w:sz w:val="22"/>
                <w:szCs w:val="22"/>
              </w:rPr>
              <w:tab/>
              <w:t>annual life insurance cost;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v)</w:t>
            </w:r>
            <w:r>
              <w:rPr>
                <w:color w:val="000000"/>
                <w:sz w:val="22"/>
                <w:szCs w:val="22"/>
              </w:rPr>
              <w:tab/>
              <w:t>annual sick pay entitlement;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vi)</w:t>
            </w:r>
            <w:r>
              <w:rPr>
                <w:color w:val="000000"/>
                <w:sz w:val="22"/>
                <w:szCs w:val="22"/>
              </w:rPr>
              <w:tab/>
              <w:t>maternity/paternity costs; and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vii)</w:t>
            </w:r>
            <w:r>
              <w:rPr>
                <w:color w:val="000000"/>
                <w:sz w:val="22"/>
                <w:szCs w:val="22"/>
              </w:rPr>
              <w:tab/>
              <w:t xml:space="preserve">any other cost arising directly from the contract of employment of the Transferring Former Supplier Employee and or Transferring Buyer Employee,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as set out in paragraph 2 of Call Off Schedule 6 (TUPE Surcharge);</w:t>
            </w:r>
          </w:p>
          <w:p w:rsidR="004A21BD" w:rsidRDefault="004A21BD">
            <w:pPr>
              <w:numPr>
                <w:ilvl w:val="0"/>
                <w:numId w:val="4"/>
              </w:numPr>
              <w:pBdr>
                <w:top w:val="nil"/>
                <w:left w:val="nil"/>
                <w:bottom w:val="nil"/>
                <w:right w:val="nil"/>
                <w:between w:val="nil"/>
              </w:pBdr>
              <w:tabs>
                <w:tab w:val="left" w:pos="-9"/>
              </w:tabs>
              <w:spacing w:after="120"/>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"GDPR"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General Data Protection Regulation (Regulation (EU) 2016/679)</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"General Anti-Abuse Rule"</w:t>
            </w:r>
          </w:p>
        </w:tc>
        <w:tc>
          <w:tcPr>
            <w:tcW w:w="6139" w:type="dxa"/>
            <w:vAlign w:val="center"/>
          </w:tcPr>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the legislation in Part 5 of the Finance Act 2013 and; and</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future legislation introduced into parliament to counteract tax advantages arising from abusive arrangements to avoid National Insurance contributions;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"General Change in Law"</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Change in Law where the change is of a general legislative nature (including taxation or duties of any sort affecting the Supplier) or which affects or relates to a Comparable Supply;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“Geographical Boundary”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geographical boundary coverage areas, using the relevant boundary codes, as stated in Framework Schedule 2</w:t>
            </w:r>
            <w:r>
              <w:rPr>
                <w:color w:val="000000"/>
                <w:sz w:val="22"/>
                <w:szCs w:val="22"/>
              </w:rPr>
              <w:tab/>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“Goods”</w:t>
            </w:r>
          </w:p>
        </w:tc>
        <w:tc>
          <w:tcPr>
            <w:tcW w:w="6139" w:type="dxa"/>
            <w:vAlign w:val="center"/>
          </w:tcPr>
          <w:p w:rsidR="004A21BD" w:rsidRDefault="00F00477" w:rsidP="00B9479D">
            <w:pPr>
              <w:numPr>
                <w:ilvl w:val="0"/>
                <w:numId w:val="4"/>
              </w:numPr>
              <w:pBdr>
                <w:top w:val="nil"/>
                <w:left w:val="nil"/>
                <w:bottom w:val="nil"/>
                <w:right w:val="nil"/>
                <w:between w:val="nil"/>
              </w:pBdr>
              <w:tabs>
                <w:tab w:val="left" w:pos="-9"/>
              </w:tabs>
              <w:spacing w:after="120"/>
              <w:rPr>
                <w:color w:val="000000"/>
              </w:rPr>
            </w:pPr>
            <w:r>
              <w:rPr>
                <w:color w:val="000000"/>
                <w:sz w:val="22"/>
                <w:szCs w:val="22"/>
              </w:rPr>
              <w:t>Goods specified in the Order Form</w:t>
            </w:r>
            <w:r>
              <w:rPr>
                <w:color w:val="FF0000"/>
                <w:sz w:val="22"/>
                <w:szCs w:val="22"/>
              </w:rPr>
              <w:t xml:space="preserve"> </w:t>
            </w:r>
            <w:r>
              <w:rPr>
                <w:color w:val="000000"/>
                <w:sz w:val="22"/>
                <w:szCs w:val="22"/>
              </w:rPr>
              <w:t>that are to be purchased by the Supplier on behalf of the Buyer under a Call-Off Contract but excluding any Replacement Equipment.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"Good Industry Practice"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"Government"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“Government Buying Standards”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means</w:t>
            </w:r>
            <w:proofErr w:type="gramEnd"/>
            <w:r>
              <w:rPr>
                <w:color w:val="000000"/>
                <w:sz w:val="22"/>
                <w:szCs w:val="22"/>
              </w:rPr>
              <w:t xml:space="preserve"> product specifications in line with the European Commission’s Green Public Procurement initiative. The current Government Buying Standards are owned by DEFRA</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"Government Data"</w:t>
            </w:r>
          </w:p>
        </w:tc>
        <w:tc>
          <w:tcPr>
            <w:tcW w:w="6139" w:type="dxa"/>
            <w:vAlign w:val="center"/>
          </w:tcPr>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are supplied to the Supplier by or on behalf of the Authority; or</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the Supplier is required to generate, process, store or transmit pursuant to a Contract;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Personal Data for which the Authority is the Data Controller;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"Government Procurement Card"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Government’s preferred method of purchasing and payment for low value goods or services https://www.gov.uk/government/publications/government-procurement-card--2;</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“Greening Government Commitments”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UK policy commitments to greening operations and procurement set by the Department for the Environment, Food and Rural Affairs (DEFRA)</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"Guarantor"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person (if any) who has entered into a guarantee in the form set out in Joint Schedule 8 (Guarantee) in relation to this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"Halifax Abuse Principle"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principle explained in the CJEU Case C-255/02 Halifax and others;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"HMRC"</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Her Majesty’s Revenue and Customs;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222222"/>
                <w:sz w:val="22"/>
                <w:szCs w:val="22"/>
                <w:highlight w:val="white"/>
              </w:rPr>
              <w:t>"Housing Unit"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residence such as a house, apartment or flat which provides a space for occupants making up a single household to live and eat;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"ICT Policy"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"Impact Assessment"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 assessment of the impact of a Variation request by the Relevant Authority completed in good faith, including:</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details of the impact of the proposed Variation on the Deliverables and the Supplier's ability to meet its other obligations under the Contract;</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details of the cost of implementing the proposed Variation;</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 timetable for the implementation, together with any proposals for the testing of the Variation; and</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such other information as the Relevant Authority may reasonably request in (or in response to) the Variation request;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"Inclusive Repair Threshold"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financial threshold as specified in the Order Form, under which the costs of individual Reactive Maintenance Works are included in the Baseline Monthly Payment and which it shall apply per event and not, for example, per trade;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"Indemnifier"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Party from whom an indemnity is sought under this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"Indexation"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adjustment of an amount or sum in accordance with Framework Schedule 3 (Framework Prices) and the relevant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"Information"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under section 84 of the Freedom of Information Act 2000;</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"Information Commissioner"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UK’s independent authority which deals with ensuring information relating to rights in the public interest and data privacy for individuals is met, whilst promoting openness by public bodies;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"Initial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initial term of a Contract specified in the Framework Award Form or the Order Form, as the context requires;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"Insolvency Event"</w:t>
            </w:r>
          </w:p>
        </w:tc>
        <w:tc>
          <w:tcPr>
            <w:tcW w:w="6139" w:type="dxa"/>
            <w:vAlign w:val="center"/>
          </w:tcPr>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in respect of a person:</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 proposal is made for a voluntary arrangement within Part I of the Insolvency Act 1986 or of any other composition scheme or arrangement with, or assignment for the benefit of, its creditors;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 shareholders' meeting is convened for the purpose of considering a resolution that it be wound up or a resolution for its winding-up is passed (other than as part of, and exclusively for the purpose of, a bona fide reconstruction or amalgamation);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 receiver, administrative receiver or similar officer is appointed over the whole or any part of its business or assets;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 application order is made either for the appointment of an administrator or for an administration order, an administrator is appointed, or notice of intention to appoint an administrator is given;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it is or becomes insolvent within the meaning of section 123 of the Insolvency Act 1986;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being a "small company" within the meaning of section 382(3) of the Companies Act 2006, a moratorium comes into force pursuant to Schedule A1 of the Insolvency Act 1986;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where the person is an individual or partnership, any event analogous to those listed in limbs (a) to (g) (inclusive) occurs in relation to that individual or partnership;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event analogous to those listed in limbs (a) to (h) (inclusive) occurs under the law of any other jurisdiction;</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"Installation Works"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decommissioning, removal and disposal of Buyer Equipment, the design, manufacture, ordering, purchase, delivery, installation, testing and commissioning of Replacement Equipment undertaken in accordance with a Call Off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"Intellectual Property Rights" or "IPR"</w:t>
            </w:r>
          </w:p>
        </w:tc>
        <w:tc>
          <w:tcPr>
            <w:tcW w:w="6139" w:type="dxa"/>
            <w:vAlign w:val="center"/>
          </w:tcPr>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applications for registration, and the right to apply for registration, for any of the rights listed at (a) that are capable of being registered in any country or jurisdiction; and</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all other rights having equivalent or similar effect in any country or jurisdiction;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"Invoicing Address"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address to which the Supplier shall Invoice the Buyer as specified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"IPR Claim"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"IR35"</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the off-payroll rules requiring individuals who work through their company pay the same tax and National Insurance contributions as an employee which can be found online at: </w:t>
            </w:r>
            <w:hyperlink r:id="rId7">
              <w:r>
                <w:rPr>
                  <w:color w:val="0000FF"/>
                  <w:sz w:val="22"/>
                  <w:szCs w:val="22"/>
                  <w:u w:val="single"/>
                </w:rPr>
                <w:t>https://www.gov.uk/guidance/ir35-find-out-if-it-applies</w:t>
              </w:r>
            </w:hyperlink>
            <w:r>
              <w:rPr>
                <w:color w:val="000000"/>
                <w:sz w:val="22"/>
                <w:szCs w:val="22"/>
              </w:rPr>
              <w: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"Key Personnel"</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individuals (if any) identified as such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“Key Roles”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means</w:t>
            </w:r>
            <w:proofErr w:type="gramEnd"/>
            <w:r>
              <w:rPr>
                <w:color w:val="000000"/>
                <w:sz w:val="22"/>
                <w:szCs w:val="22"/>
              </w:rPr>
              <w:t xml:space="preserve"> the roles stated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“Key Staff”</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Key Staff will fulfil the Key Roles as listed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"Key Sub-Contract"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each Sub-Contract with a Key Subcontractor;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"Key Subcontractor"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Subcontractor: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which is relied upon to deliver any work package within the Deliverables in their entirety; and/or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which, in the opinion of CCS or the Buyer performs (or would perform if appointed) a critical role in the provision of all or any part of the Deliverables; and/or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lastRenderedPageBreak/>
              <w:t>with a Sub-Contract with a contract value which at the time of appointment exceeds (or would exceed if appointed) 10% of the aggregate Charges forecast to be payable under the Call-Off Contract,</w:t>
            </w:r>
          </w:p>
          <w:p w:rsidR="004A21BD" w:rsidRDefault="00F00477">
            <w:pPr>
              <w:pBdr>
                <w:top w:val="nil"/>
                <w:left w:val="nil"/>
                <w:bottom w:val="nil"/>
                <w:right w:val="nil"/>
                <w:between w:val="nil"/>
              </w:pBdr>
              <w:tabs>
                <w:tab w:val="left" w:pos="144"/>
              </w:tabs>
              <w:spacing w:after="120"/>
              <w:ind w:left="144"/>
              <w:rPr>
                <w:color w:val="000000"/>
                <w:sz w:val="22"/>
                <w:szCs w:val="22"/>
              </w:rPr>
            </w:pPr>
            <w:r>
              <w:rPr>
                <w:color w:val="000000"/>
                <w:sz w:val="22"/>
                <w:szCs w:val="22"/>
              </w:rPr>
              <w:t>and the Supplier shall list all such Key Subcontractors in the Framework Award Form and in the Key Subcontractor Section in Order Form;</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"Know-How"</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"KPIs"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key performance indicator applicable to the provision of the Deliverables under the Call-Off Contract (which, where Call-Off Schedule 14 (Key Performance Indicators) is used in this Contract, are referred to in such Schedule);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"KPI Credits"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KPI credits specified in Schedule 14 (Key Performance Indicators) as being payable by the Supplier to the Buyer in respect of any failure by the Supplier to meet one or more KPIs;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"Labour Count"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total number of Transferring Former Supplier Employees and/or Transferring Employer Employees identified in the Suppliers solution;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"Law"</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“LED”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Law Enforcement Directive (Directive (EU) 2016/680)</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"Lots"</w:t>
            </w:r>
          </w:p>
        </w:tc>
        <w:tc>
          <w:tcPr>
            <w:tcW w:w="6139" w:type="dxa"/>
            <w:vAlign w:val="center"/>
          </w:tcPr>
          <w:p w:rsidR="004A21BD" w:rsidRDefault="00F00477">
            <w:pPr>
              <w:pBdr>
                <w:top w:val="nil"/>
                <w:left w:val="nil"/>
                <w:bottom w:val="nil"/>
                <w:right w:val="nil"/>
                <w:between w:val="nil"/>
              </w:pBdr>
              <w:tabs>
                <w:tab w:val="left" w:pos="175"/>
              </w:tabs>
              <w:spacing w:after="120"/>
              <w:ind w:left="170"/>
              <w:rPr>
                <w:color w:val="000000"/>
                <w:sz w:val="22"/>
                <w:szCs w:val="22"/>
              </w:rPr>
            </w:pPr>
            <w:r>
              <w:rPr>
                <w:color w:val="000000"/>
                <w:sz w:val="22"/>
                <w:szCs w:val="22"/>
              </w:rPr>
              <w:t>the number of lots specified in Framework Schedule 1 (Specification), if applicable;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"Losses"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color w:val="000000"/>
                <w:sz w:val="22"/>
                <w:szCs w:val="22"/>
              </w:rPr>
              <w:t>Loss</w:t>
            </w:r>
            <w:r>
              <w:rPr>
                <w:color w:val="000000"/>
                <w:sz w:val="22"/>
                <w:szCs w:val="22"/>
              </w:rPr>
              <w:t>" shall be interpreted accordingly;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"Man Day"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7.5 Man Hours, whether or not such hours are worked consecutively and whether or not they are worked on the same day;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"Man Hours"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the hours spent by the Supplier Staff properly working on the provision of the Deliverables including time spent travelling </w:t>
            </w:r>
            <w:r>
              <w:rPr>
                <w:color w:val="000000"/>
                <w:sz w:val="22"/>
                <w:szCs w:val="22"/>
              </w:rPr>
              <w:lastRenderedPageBreak/>
              <w:t>(other than to and from the Supplier's offices, or to and from the Sites) but excluding lunch breaks;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"Management Charge"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sum specified in the Framework Award Form payable by the Supplier to CCS in accordance with Framework Schedule 5 (Management Charges and Information);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"Management Information"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management information specified in Specified in Framework Schedule 5 (Management Charges and Information);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“Management Overhead”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Overhead</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Mandatory Deliverable</w:t>
            </w:r>
          </w:p>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Or</w:t>
            </w:r>
          </w:p>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Mandatory Service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the</w:t>
            </w:r>
            <w:proofErr w:type="gramEnd"/>
            <w:r>
              <w:rPr>
                <w:color w:val="000000"/>
                <w:sz w:val="22"/>
                <w:szCs w:val="22"/>
              </w:rPr>
              <w:t xml:space="preserve"> services as defined in Framework Schedule 1 – Specification that all Suppliers must be capable of providing on this Framework.</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rFonts w:ascii="Arial" w:eastAsia="Arial" w:hAnsi="Arial" w:cs="Arial"/>
                <w:b/>
                <w:color w:val="263238"/>
                <w:sz w:val="22"/>
                <w:szCs w:val="22"/>
              </w:rPr>
              <w:t>“</w:t>
            </w:r>
            <w:r>
              <w:rPr>
                <w:b/>
                <w:color w:val="263238"/>
                <w:sz w:val="22"/>
                <w:szCs w:val="22"/>
              </w:rPr>
              <w:t>Mandatory Wage”</w:t>
            </w:r>
          </w:p>
        </w:tc>
        <w:tc>
          <w:tcPr>
            <w:tcW w:w="6139" w:type="dxa"/>
            <w:vAlign w:val="center"/>
          </w:tcPr>
          <w:p w:rsidR="004A21BD" w:rsidRDefault="00F00477">
            <w:pPr>
              <w:rPr>
                <w:color w:val="263238"/>
              </w:rPr>
            </w:pPr>
            <w:r>
              <w:rPr>
                <w:rFonts w:ascii="Arial" w:eastAsia="Arial" w:hAnsi="Arial" w:cs="Arial"/>
                <w:color w:val="263238"/>
              </w:rPr>
              <w:t xml:space="preserve"> </w:t>
            </w:r>
            <w:r>
              <w:rPr>
                <w:color w:val="263238"/>
              </w:rPr>
              <w:t>Means either </w:t>
            </w:r>
          </w:p>
          <w:p w:rsidR="004A21BD" w:rsidRDefault="00F00477">
            <w:r>
              <w:rPr>
                <w:color w:val="263238"/>
              </w:rPr>
              <w:br/>
            </w:r>
            <w:r>
              <w:t>a) the statutory minimum hourly rate of pay including the National Living Wage and National Minimum Wage as set by the Crown; or</w:t>
            </w:r>
          </w:p>
          <w:p w:rsidR="004A21BD" w:rsidRDefault="00F00477">
            <w:r>
              <w:t>b) in the case of a Call-off Contract the introduction of a requirement by the Buyer that the Supplier pay Supplier Personnel a non-statutory minimum hourly rate of pay (such as the Living Wage or London Living Wage as set by the Living Wage Foundation);</w:t>
            </w:r>
          </w:p>
          <w:p w:rsidR="004A21BD" w:rsidRDefault="004A21BD">
            <w:pPr>
              <w:rPr>
                <w:color w:val="263238"/>
              </w:rPr>
            </w:pPr>
          </w:p>
          <w:p w:rsidR="004A21BD" w:rsidRDefault="004A21BD">
            <w:pPr>
              <w:numPr>
                <w:ilvl w:val="0"/>
                <w:numId w:val="4"/>
              </w:numPr>
              <w:pBdr>
                <w:top w:val="nil"/>
                <w:left w:val="nil"/>
                <w:bottom w:val="nil"/>
                <w:right w:val="nil"/>
                <w:between w:val="nil"/>
              </w:pBdr>
              <w:tabs>
                <w:tab w:val="left" w:pos="-9"/>
              </w:tabs>
              <w:spacing w:after="120"/>
              <w:jc w:val="both"/>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"Marketing Contact"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jc w:val="both"/>
              <w:rPr>
                <w:color w:val="000000"/>
              </w:rPr>
            </w:pPr>
            <w:r>
              <w:rPr>
                <w:color w:val="000000"/>
                <w:sz w:val="22"/>
                <w:szCs w:val="22"/>
              </w:rPr>
              <w:t>shall be the person identified in the Framework Award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"MI Failure"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jc w:val="both"/>
              <w:rPr>
                <w:color w:val="000000"/>
              </w:rPr>
            </w:pPr>
            <w:r>
              <w:rPr>
                <w:color w:val="000000"/>
                <w:sz w:val="22"/>
                <w:szCs w:val="22"/>
              </w:rPr>
              <w:t>“MI Failure”      means when an MI report:</w:t>
            </w:r>
          </w:p>
          <w:p w:rsidR="004A21BD" w:rsidRDefault="00F00477">
            <w:pPr>
              <w:numPr>
                <w:ilvl w:val="0"/>
                <w:numId w:val="4"/>
              </w:numPr>
              <w:pBdr>
                <w:top w:val="nil"/>
                <w:left w:val="nil"/>
                <w:bottom w:val="nil"/>
                <w:right w:val="nil"/>
                <w:between w:val="nil"/>
              </w:pBdr>
              <w:tabs>
                <w:tab w:val="left" w:pos="-9"/>
              </w:tabs>
              <w:spacing w:after="120"/>
              <w:jc w:val="both"/>
              <w:rPr>
                <w:color w:val="000000"/>
              </w:rPr>
            </w:pPr>
            <w:r>
              <w:rPr>
                <w:color w:val="000000"/>
                <w:sz w:val="22"/>
                <w:szCs w:val="22"/>
              </w:rPr>
              <w:t xml:space="preserve">a)         contains any material errors or material omissions or a missing mandatory field; or </w:t>
            </w:r>
          </w:p>
          <w:p w:rsidR="004A21BD" w:rsidRDefault="00F00477">
            <w:pPr>
              <w:numPr>
                <w:ilvl w:val="0"/>
                <w:numId w:val="4"/>
              </w:numPr>
              <w:pBdr>
                <w:top w:val="nil"/>
                <w:left w:val="nil"/>
                <w:bottom w:val="nil"/>
                <w:right w:val="nil"/>
                <w:between w:val="nil"/>
              </w:pBdr>
              <w:tabs>
                <w:tab w:val="left" w:pos="-9"/>
              </w:tabs>
              <w:spacing w:after="120"/>
              <w:jc w:val="both"/>
              <w:rPr>
                <w:color w:val="000000"/>
              </w:rPr>
            </w:pPr>
            <w:r>
              <w:rPr>
                <w:color w:val="000000"/>
                <w:sz w:val="22"/>
                <w:szCs w:val="22"/>
              </w:rPr>
              <w:t>b)         is submitted using an incorrect MI reporting Template; or</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         is not submitted by the reporting date(including where a Nil Return should have been filed);</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"MI Reports"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“MI Reports” means a report containing Management Information submitted to the Authority in accordance with Framework Schedule 5 (Management Charges and Information);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"Milestone"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 event or task described in the Mobilisation Plan;</w:t>
            </w:r>
          </w:p>
        </w:tc>
      </w:tr>
      <w:tr w:rsidR="004A21BD">
        <w:trPr>
          <w:trHeight w:val="660"/>
        </w:trPr>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"Milestone Date"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target date set out against the relevant Milestone in the Mobilisation Plan by which the Milestone must be Achieved;</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“Mobilisation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is a six (6) Month period, following the Effective Date, prior to commencement of the Services during the Contract Period (unless stated otherwise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"Mobilisation Plan"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the plan for provision of the Deliverables set out in Call-Off Schedule 13 (Mobilisation Plan and Testing) where that </w:t>
            </w:r>
            <w:r>
              <w:rPr>
                <w:color w:val="000000"/>
                <w:sz w:val="22"/>
                <w:szCs w:val="22"/>
              </w:rPr>
              <w:lastRenderedPageBreak/>
              <w:t>Schedule is used or otherwise as agreed between the Supplier and the Buyer;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"Month"</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calendar month and "</w:t>
            </w:r>
            <w:r>
              <w:rPr>
                <w:b/>
                <w:color w:val="000000"/>
                <w:sz w:val="22"/>
                <w:szCs w:val="22"/>
              </w:rPr>
              <w:t>Monthly</w:t>
            </w:r>
            <w:r>
              <w:rPr>
                <w:color w:val="000000"/>
                <w:sz w:val="22"/>
                <w:szCs w:val="22"/>
              </w:rPr>
              <w:t>" shall be interpreted accordingly;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"Monthly Payments"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set out in paragraph 1.1.3 of Call Off Schedule 5;</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"Monthly TUPE Risk Premium"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set out in paragraph 1.2 of Call Off Schedule 5;</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"National Insurance"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contributions required by the National Insurance Contributions Regulations 2012 (SI 2012/1868) made under section 132A of  the Social Security Administration Act 1992;</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"Net Book Value"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"New IPR"</w:t>
            </w:r>
          </w:p>
        </w:tc>
        <w:tc>
          <w:tcPr>
            <w:tcW w:w="6139" w:type="dxa"/>
            <w:vAlign w:val="center"/>
          </w:tcPr>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IPR in or arising as a result of the performance of the Supplier’s obligations under a Contract and all updates and amendments to the same;</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but shall not include the Supplier’s Existing IPR;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"Non-Exclusive Assets"</w:t>
            </w:r>
          </w:p>
        </w:tc>
        <w:tc>
          <w:tcPr>
            <w:tcW w:w="6139" w:type="dxa"/>
            <w:vAlign w:val="center"/>
          </w:tcPr>
          <w:p w:rsidR="004A21BD" w:rsidRDefault="00F00477">
            <w:pPr>
              <w:pBdr>
                <w:top w:val="nil"/>
                <w:left w:val="nil"/>
                <w:bottom w:val="nil"/>
                <w:right w:val="nil"/>
                <w:between w:val="nil"/>
              </w:pBdr>
              <w:tabs>
                <w:tab w:val="left" w:pos="144"/>
              </w:tabs>
              <w:spacing w:after="120"/>
              <w:rPr>
                <w:color w:val="000000"/>
                <w:sz w:val="22"/>
                <w:szCs w:val="22"/>
              </w:rPr>
            </w:pPr>
            <w:r>
              <w:rPr>
                <w:color w:val="000000"/>
                <w:sz w:val="22"/>
                <w:szCs w:val="22"/>
              </w:rPr>
              <w:tab/>
              <w:t>those Supplier Assets used by the Supplier[ or a Key Subcontractor] in connection with the Deliverables but which are also used by the Supplier[ or Key Subcontractor] for other purposes;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Non Mandatory Service</w:t>
            </w:r>
          </w:p>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Or</w:t>
            </w:r>
          </w:p>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Non Mandatory Deliverable</w:t>
            </w:r>
          </w:p>
        </w:tc>
        <w:tc>
          <w:tcPr>
            <w:tcW w:w="6139" w:type="dxa"/>
            <w:vAlign w:val="center"/>
          </w:tcPr>
          <w:p w:rsidR="004A21BD" w:rsidRDefault="00F00477">
            <w:pPr>
              <w:pBdr>
                <w:top w:val="nil"/>
                <w:left w:val="nil"/>
                <w:bottom w:val="nil"/>
                <w:right w:val="nil"/>
                <w:between w:val="nil"/>
              </w:pBdr>
              <w:tabs>
                <w:tab w:val="left" w:pos="144"/>
              </w:tabs>
              <w:spacing w:after="120"/>
              <w:rPr>
                <w:color w:val="000000"/>
                <w:sz w:val="22"/>
                <w:szCs w:val="22"/>
              </w:rPr>
            </w:pPr>
            <w:r>
              <w:rPr>
                <w:color w:val="000000"/>
                <w:sz w:val="22"/>
                <w:szCs w:val="22"/>
              </w:rPr>
              <w:tab/>
            </w:r>
            <w:proofErr w:type="gramStart"/>
            <w:r>
              <w:rPr>
                <w:color w:val="000000"/>
                <w:sz w:val="22"/>
                <w:szCs w:val="22"/>
              </w:rPr>
              <w:t>the</w:t>
            </w:r>
            <w:proofErr w:type="gramEnd"/>
            <w:r>
              <w:rPr>
                <w:color w:val="000000"/>
                <w:sz w:val="22"/>
                <w:szCs w:val="22"/>
              </w:rPr>
              <w:t xml:space="preserve"> Services as defined in Framework Schedule 1 – Specification that Suppliers may elect to provide under this Framework.</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"Occasion of Tax Non –Compliance"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where:</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tax return of the Supplier submitted to a Relevant Tax Authority on or after 1 October 2012 which is found on or after 1 April 2013 to be incorrect as a result of:</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lastRenderedPageBreak/>
              <w:t>the failure of an avoidance scheme which the Supplier was involved in, and which was, or should have been, notified to a Relevant Tax Authority under the DOTAS or any equivalent or similar regime in any jurisdiction; and/or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"Open Book Data "</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the Supplier’s Costs broken down against each Good and/or Service and/or Deliverable, including actual capital expenditure (including capital replacement costs) and the unit cost and total actual costs of all Deliverables;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operating expenditure relating to the provision of the Deliverables including an analysis showing:</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the unit costs and quantity of Goods and any other consumables and bought-in Deliverables;</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manpower resources broken down into the number and grade/role of all Supplier Staff (free of any contingency) together with a list of agreed rates against each manpower grade; and</w:t>
            </w:r>
          </w:p>
          <w:p w:rsidR="004A21BD" w:rsidRDefault="00F00477">
            <w:pPr>
              <w:numPr>
                <w:ilvl w:val="2"/>
                <w:numId w:val="4"/>
              </w:numPr>
              <w:pBdr>
                <w:top w:val="nil"/>
                <w:left w:val="nil"/>
                <w:bottom w:val="nil"/>
                <w:right w:val="nil"/>
                <w:between w:val="nil"/>
              </w:pBdr>
              <w:tabs>
                <w:tab w:val="left" w:pos="144"/>
              </w:tabs>
              <w:spacing w:after="120"/>
              <w:ind w:left="792"/>
              <w:rPr>
                <w:color w:val="000000"/>
              </w:rPr>
            </w:pPr>
            <w:r>
              <w:rPr>
                <w:color w:val="000000"/>
                <w:sz w:val="22"/>
                <w:szCs w:val="22"/>
              </w:rPr>
              <w:t xml:space="preserve">a list of Costs underpinning those rates for each manpower grade, being the agreed rate less the Supplier Profit Margin; </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Overheads;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all interest, expenses and any other third party financing costs incurred in relation to the provision of the Deliverables;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the Supplier Profit achieved over the Framework Contract Period and on an annual basis;</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confirmation that all methods of Cost apportionment and Overhead allocation are consistent with and not more onerous than such methods applied generally by the Supplier;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 explanation of the type and value of risk and contingencies associated with the provision of the Deliverables, including the amount of money attributed to each risk and/or contingency; and</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lastRenderedPageBreak/>
              <w:t>the actual Costs profile for each Service Period;</w:t>
            </w:r>
          </w:p>
          <w:p w:rsidR="004A21BD" w:rsidRDefault="004A21BD">
            <w:pPr>
              <w:pBdr>
                <w:top w:val="nil"/>
                <w:left w:val="nil"/>
                <w:bottom w:val="nil"/>
                <w:right w:val="nil"/>
                <w:between w:val="nil"/>
              </w:pBdr>
              <w:tabs>
                <w:tab w:val="left" w:pos="144"/>
              </w:tabs>
              <w:spacing w:after="120"/>
              <w:ind w:left="432" w:hanging="545"/>
              <w:rPr>
                <w:color w:val="000000"/>
                <w:sz w:val="22"/>
                <w:szCs w:val="22"/>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"Order"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an order for the provision of the Deliverables placed by a Buyer with the Supplier under a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"Order Form"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completed Order Form Template (or equivalent information issued by the Buyer) used to create a Call-Off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"Order Form Template"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template in Framework Schedule 6 (Order Form Template and Call-Off Schedules);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"Other Contracting Authority"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actual or potential Buyer under the Framework Contract;</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"Overhead"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Overhead includes the following elements.</w:t>
            </w:r>
          </w:p>
          <w:p w:rsidR="004A21BD" w:rsidRDefault="00F00477">
            <w:pPr>
              <w:numPr>
                <w:ilvl w:val="0"/>
                <w:numId w:val="4"/>
              </w:numPr>
              <w:pBdr>
                <w:top w:val="nil"/>
                <w:left w:val="nil"/>
                <w:bottom w:val="nil"/>
                <w:right w:val="nil"/>
                <w:between w:val="nil"/>
              </w:pBdr>
              <w:tabs>
                <w:tab w:val="left" w:pos="-9"/>
              </w:tabs>
              <w:spacing w:after="120"/>
              <w:rPr>
                <w:b/>
                <w:color w:val="000000"/>
              </w:rPr>
            </w:pPr>
            <w:r>
              <w:rPr>
                <w:b/>
                <w:color w:val="000000"/>
                <w:sz w:val="22"/>
                <w:szCs w:val="22"/>
              </w:rPr>
              <w:t>Management Overhead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Management Overhead includes, but is not limited to, activities relating to supervisory/management and administration activities of the service delivery. All the requirements within Work Package A must also be accounted for within Management Overhead.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Management Overhead is captured at Framework level in the form of a percentage uplift, and forms part of the price evaluation.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At Further Competition the Framework rates are used as maximum rates, and bidders are invited to reduce the rates for each specific Further Competition.</w:t>
            </w:r>
          </w:p>
          <w:p w:rsidR="004A21BD" w:rsidRDefault="00F00477">
            <w:pPr>
              <w:numPr>
                <w:ilvl w:val="0"/>
                <w:numId w:val="4"/>
              </w:numPr>
              <w:pBdr>
                <w:top w:val="nil"/>
                <w:left w:val="nil"/>
                <w:bottom w:val="nil"/>
                <w:right w:val="nil"/>
                <w:between w:val="nil"/>
              </w:pBdr>
              <w:tabs>
                <w:tab w:val="left" w:pos="-9"/>
              </w:tabs>
              <w:spacing w:after="120"/>
              <w:rPr>
                <w:b/>
                <w:color w:val="000000"/>
              </w:rPr>
            </w:pPr>
            <w:r>
              <w:rPr>
                <w:b/>
                <w:color w:val="000000"/>
                <w:sz w:val="22"/>
                <w:szCs w:val="22"/>
              </w:rPr>
              <w:t>Corporate Overhead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"Parliament"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takes its natural meaning as interpreted within by Law;</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"Partial Termination"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   the partial termination of the relevant Contract to the extent that it relates to the provision of any part of the Services as further provided for in Core Terms clause 10.4 (When CCS or </w:t>
            </w:r>
            <w:r>
              <w:rPr>
                <w:color w:val="000000"/>
                <w:sz w:val="22"/>
                <w:szCs w:val="22"/>
              </w:rPr>
              <w:lastRenderedPageBreak/>
              <w:t>the Buyer can end this contract ) or 10.6 (When the Supplier can end the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"Party"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in</w:t>
            </w:r>
            <w:proofErr w:type="gramEnd"/>
            <w:r>
              <w:rPr>
                <w:color w:val="000000"/>
                <w:sz w:val="22"/>
                <w:szCs w:val="22"/>
              </w:rPr>
              <w:t xml:space="preserve"> the context of the Framework Contract, CCS or the Supplier, and in the in the context of a Call-Off Contract the Buyer or the Supplier. "</w:t>
            </w:r>
            <w:r>
              <w:rPr>
                <w:b/>
                <w:color w:val="000000"/>
                <w:sz w:val="22"/>
                <w:szCs w:val="22"/>
              </w:rPr>
              <w:t>Parties</w:t>
            </w:r>
            <w:r>
              <w:rPr>
                <w:color w:val="000000"/>
                <w:sz w:val="22"/>
                <w:szCs w:val="22"/>
              </w:rPr>
              <w:t>" shall mean both of them where the context permits;</w:t>
            </w:r>
          </w:p>
        </w:tc>
      </w:tr>
      <w:tr w:rsidR="004A21BD">
        <w:trPr>
          <w:trHeight w:val="920"/>
        </w:trPr>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"Pass Through Costs"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third party costs incurred by the Supplier necessarily in connection with the provision of the Deliverables;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"Payment Index"</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is the index identified as such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"Performance Indicators" or "PIs"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performance measurements and targets in respect of the Supplier’s performance of the Framework Contract set out in Framework Schedule 4 (Framework Management);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“Permit to Work”</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means</w:t>
            </w:r>
            <w:proofErr w:type="gramEnd"/>
            <w:r>
              <w:rPr>
                <w:color w:val="000000"/>
                <w:sz w:val="22"/>
                <w:szCs w:val="22"/>
              </w:rPr>
              <w:t xml:space="preserve"> a system that is in place where strict controls are required due to the proposed work being identified as having a high risk. The work must be carried out against previously agreed safety procedures, a ‘permit-to-work' system;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"Personal Data"</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the GDPR;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“Personal Data Breach”</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the GDPR;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"Planned Maintenance"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planned maintenance as described in the Specification;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"Prescribed Person"</w:t>
            </w:r>
          </w:p>
        </w:tc>
        <w:tc>
          <w:tcPr>
            <w:tcW w:w="6139" w:type="dxa"/>
            <w:vAlign w:val="center"/>
          </w:tcPr>
          <w:p w:rsidR="004A21BD" w:rsidRDefault="00F00477">
            <w:pPr>
              <w:pBdr>
                <w:top w:val="nil"/>
                <w:left w:val="nil"/>
                <w:bottom w:val="nil"/>
                <w:right w:val="nil"/>
                <w:between w:val="nil"/>
              </w:pBdr>
              <w:tabs>
                <w:tab w:val="left" w:pos="144"/>
              </w:tabs>
              <w:spacing w:after="120"/>
              <w:ind w:hanging="545"/>
              <w:rPr>
                <w:color w:val="000000"/>
                <w:sz w:val="22"/>
                <w:szCs w:val="22"/>
              </w:rPr>
            </w:pPr>
            <w:r>
              <w:rPr>
                <w:color w:val="000000"/>
                <w:sz w:val="22"/>
                <w:szCs w:val="22"/>
              </w:rPr>
              <w:tab/>
              <w:t>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"Previous Service Month"</w:t>
            </w:r>
          </w:p>
        </w:tc>
        <w:tc>
          <w:tcPr>
            <w:tcW w:w="6139" w:type="dxa"/>
            <w:vAlign w:val="center"/>
          </w:tcPr>
          <w:p w:rsidR="004A21BD" w:rsidRDefault="00F00477">
            <w:pPr>
              <w:pBdr>
                <w:top w:val="nil"/>
                <w:left w:val="nil"/>
                <w:bottom w:val="nil"/>
                <w:right w:val="nil"/>
                <w:between w:val="nil"/>
              </w:pBdr>
              <w:tabs>
                <w:tab w:val="left" w:pos="144"/>
              </w:tabs>
              <w:spacing w:after="120"/>
              <w:rPr>
                <w:color w:val="000000"/>
                <w:sz w:val="22"/>
                <w:szCs w:val="22"/>
              </w:rPr>
            </w:pPr>
            <w:r>
              <w:rPr>
                <w:color w:val="000000"/>
                <w:sz w:val="22"/>
                <w:szCs w:val="22"/>
              </w:rPr>
              <w:t>is the Service Month (referred to as “n-1”) immediately prior to the Service Month “n”;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"Pricing Matrix"</w:t>
            </w:r>
          </w:p>
        </w:tc>
        <w:tc>
          <w:tcPr>
            <w:tcW w:w="6139" w:type="dxa"/>
            <w:vAlign w:val="center"/>
          </w:tcPr>
          <w:p w:rsidR="004A21BD" w:rsidRDefault="00F00477">
            <w:pPr>
              <w:pBdr>
                <w:top w:val="nil"/>
                <w:left w:val="nil"/>
                <w:bottom w:val="nil"/>
                <w:right w:val="nil"/>
                <w:between w:val="nil"/>
              </w:pBdr>
              <w:tabs>
                <w:tab w:val="left" w:pos="144"/>
              </w:tabs>
              <w:spacing w:after="120"/>
              <w:rPr>
                <w:color w:val="000000"/>
                <w:sz w:val="22"/>
                <w:szCs w:val="22"/>
              </w:rPr>
            </w:pPr>
            <w:r>
              <w:rPr>
                <w:color w:val="000000"/>
                <w:sz w:val="22"/>
                <w:szCs w:val="22"/>
              </w:rPr>
              <w:t>means the Fixed Fee Pricing Matrix or Target Cost Pricing Matrix as applicable (each defined in Call-Off schedule 5 (Call-Off Prices));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"Progress Meeting"</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meeting between the Buyer Authorised Representative and the Supplier Authorised Representative;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"Progress Meeting Frequency"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frequency at which the Supplier shall conduct a Progress Meeting in accordance with Core Terms clause 6.1 as specified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“Progress Report”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report provided by the Supplier indicating the steps taken to achieve Milestones or delivery dates; 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“Progress Report Frequency”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frequency at which the Supplier shall deliver Progress Reports in accordance with Core Terms clause 6.1 as specified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“Prohibited Acts”</w:t>
            </w:r>
          </w:p>
        </w:tc>
        <w:tc>
          <w:tcPr>
            <w:tcW w:w="6139" w:type="dxa"/>
            <w:vAlign w:val="center"/>
          </w:tcPr>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to directly or indirectly offer, promise or give any person working for or engaged by a Buyer or any other public body a financial or other advantage to:</w:t>
            </w:r>
          </w:p>
          <w:p w:rsidR="004A21BD" w:rsidRDefault="00F00477">
            <w:pPr>
              <w:numPr>
                <w:ilvl w:val="2"/>
                <w:numId w:val="4"/>
              </w:numPr>
              <w:pBdr>
                <w:top w:val="nil"/>
                <w:left w:val="nil"/>
                <w:bottom w:val="nil"/>
                <w:right w:val="nil"/>
                <w:between w:val="nil"/>
              </w:pBdr>
              <w:tabs>
                <w:tab w:val="left" w:pos="-9"/>
              </w:tabs>
              <w:spacing w:after="120"/>
              <w:ind w:left="792"/>
              <w:rPr>
                <w:color w:val="000000"/>
              </w:rPr>
            </w:pPr>
            <w:r>
              <w:rPr>
                <w:color w:val="000000"/>
                <w:sz w:val="22"/>
                <w:szCs w:val="22"/>
              </w:rPr>
              <w:t>induce that person to perform improperly a relevant function or activity; or</w:t>
            </w:r>
          </w:p>
          <w:p w:rsidR="004A21BD" w:rsidRDefault="00F00477">
            <w:pPr>
              <w:numPr>
                <w:ilvl w:val="2"/>
                <w:numId w:val="4"/>
              </w:numPr>
              <w:pBdr>
                <w:top w:val="nil"/>
                <w:left w:val="nil"/>
                <w:bottom w:val="nil"/>
                <w:right w:val="nil"/>
                <w:between w:val="nil"/>
              </w:pBdr>
              <w:tabs>
                <w:tab w:val="left" w:pos="-9"/>
              </w:tabs>
              <w:spacing w:after="120"/>
              <w:ind w:left="792"/>
              <w:rPr>
                <w:color w:val="000000"/>
              </w:rPr>
            </w:pPr>
            <w:r>
              <w:rPr>
                <w:color w:val="000000"/>
                <w:sz w:val="22"/>
                <w:szCs w:val="22"/>
              </w:rPr>
              <w:t>reward that person for improper performance of a relevant function or activity;</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committing any offence:</w:t>
            </w:r>
          </w:p>
          <w:p w:rsidR="004A21BD" w:rsidRDefault="00F00477">
            <w:pPr>
              <w:numPr>
                <w:ilvl w:val="2"/>
                <w:numId w:val="4"/>
              </w:numPr>
              <w:pBdr>
                <w:top w:val="nil"/>
                <w:left w:val="nil"/>
                <w:bottom w:val="nil"/>
                <w:right w:val="nil"/>
                <w:between w:val="nil"/>
              </w:pBdr>
              <w:tabs>
                <w:tab w:val="left" w:pos="-9"/>
              </w:tabs>
              <w:spacing w:after="120"/>
              <w:ind w:left="792"/>
              <w:rPr>
                <w:color w:val="000000"/>
              </w:rPr>
            </w:pPr>
            <w:r>
              <w:rPr>
                <w:color w:val="000000"/>
                <w:sz w:val="22"/>
                <w:szCs w:val="22"/>
              </w:rPr>
              <w:t>under the Bribery Act 2010 (or any legislation repealed or revoked by such Act); or</w:t>
            </w:r>
          </w:p>
          <w:p w:rsidR="004A21BD" w:rsidRDefault="00F00477">
            <w:pPr>
              <w:numPr>
                <w:ilvl w:val="2"/>
                <w:numId w:val="4"/>
              </w:numPr>
              <w:pBdr>
                <w:top w:val="nil"/>
                <w:left w:val="nil"/>
                <w:bottom w:val="nil"/>
                <w:right w:val="nil"/>
                <w:between w:val="nil"/>
              </w:pBdr>
              <w:tabs>
                <w:tab w:val="left" w:pos="-9"/>
              </w:tabs>
              <w:spacing w:after="120"/>
              <w:ind w:left="792"/>
              <w:rPr>
                <w:color w:val="000000"/>
              </w:rPr>
            </w:pPr>
            <w:r>
              <w:rPr>
                <w:color w:val="000000"/>
                <w:sz w:val="22"/>
                <w:szCs w:val="22"/>
              </w:rPr>
              <w:t>under legislation or common law concerning fraudulent acts; or</w:t>
            </w:r>
          </w:p>
          <w:p w:rsidR="004A21BD" w:rsidRDefault="00F00477">
            <w:pPr>
              <w:numPr>
                <w:ilvl w:val="2"/>
                <w:numId w:val="4"/>
              </w:numPr>
              <w:pBdr>
                <w:top w:val="nil"/>
                <w:left w:val="nil"/>
                <w:bottom w:val="nil"/>
                <w:right w:val="nil"/>
                <w:between w:val="nil"/>
              </w:pBdr>
              <w:tabs>
                <w:tab w:val="left" w:pos="-9"/>
              </w:tabs>
              <w:spacing w:after="120"/>
              <w:ind w:left="792"/>
              <w:rPr>
                <w:color w:val="000000"/>
              </w:rPr>
            </w:pPr>
            <w:r>
              <w:rPr>
                <w:color w:val="000000"/>
                <w:sz w:val="22"/>
                <w:szCs w:val="22"/>
              </w:rPr>
              <w:t>defrauding, attempting to defraud or conspiring to defraud a Buyer or other public body;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activity, practice or conduct which would constitute one of the offences listed under (c) above if such activity, practice or conduct had been carried out in the UK;</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"Project"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Billable Works that the Buyer elects to treat as a project in accordance with paragraph 4 of Call Off Schedule 4a;</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"Project Stage Uplift"</w:t>
            </w:r>
          </w:p>
        </w:tc>
        <w:tc>
          <w:tcPr>
            <w:tcW w:w="6139" w:type="dxa"/>
            <w:vAlign w:val="center"/>
          </w:tcPr>
          <w:p w:rsidR="004A21BD" w:rsidRDefault="00F00477">
            <w:pPr>
              <w:numPr>
                <w:ilvl w:val="0"/>
                <w:numId w:val="4"/>
              </w:numPr>
              <w:pBdr>
                <w:top w:val="nil"/>
                <w:left w:val="nil"/>
                <w:bottom w:val="nil"/>
                <w:right w:val="nil"/>
                <w:between w:val="nil"/>
              </w:pBdr>
              <w:spacing w:after="200" w:line="276" w:lineRule="auto"/>
              <w:contextualSpacing/>
              <w:rPr>
                <w:color w:val="000000"/>
              </w:rPr>
            </w:pPr>
            <w:r>
              <w:rPr>
                <w:color w:val="000000"/>
                <w:sz w:val="22"/>
                <w:szCs w:val="22"/>
              </w:rPr>
              <w:t>the maximum permitted rate of uplift as set out in the Pricing Matrix;</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“Protective Measures”</w:t>
            </w:r>
          </w:p>
        </w:tc>
        <w:tc>
          <w:tcPr>
            <w:tcW w:w="6139" w:type="dxa"/>
            <w:vAlign w:val="center"/>
          </w:tcPr>
          <w:p w:rsidR="004A21BD" w:rsidRDefault="00F00477">
            <w:pPr>
              <w:numPr>
                <w:ilvl w:val="0"/>
                <w:numId w:val="4"/>
              </w:numPr>
              <w:pBdr>
                <w:top w:val="nil"/>
                <w:left w:val="nil"/>
                <w:bottom w:val="nil"/>
                <w:right w:val="nil"/>
                <w:between w:val="nil"/>
              </w:pBdr>
              <w:spacing w:after="200" w:line="276" w:lineRule="auto"/>
              <w:contextualSpacing/>
              <w:rPr>
                <w:color w:val="000000"/>
              </w:rPr>
            </w:pPr>
            <w:r>
              <w:rPr>
                <w:color w:val="000000"/>
                <w:sz w:val="22"/>
                <w:szCs w:val="22"/>
              </w:rPr>
              <w:t xml:space="preserve">appropriate technical and organisational measures which may include: </w:t>
            </w:r>
            <w:proofErr w:type="spellStart"/>
            <w:r>
              <w:rPr>
                <w:color w:val="000000"/>
                <w:sz w:val="22"/>
                <w:szCs w:val="22"/>
              </w:rPr>
              <w:t>pseudonymising</w:t>
            </w:r>
            <w:proofErr w:type="spellEnd"/>
            <w:r>
              <w:rPr>
                <w:color w:val="000000"/>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as outlined in the Security Policy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"Reactive Maintenance Works"</w:t>
            </w:r>
          </w:p>
        </w:tc>
        <w:tc>
          <w:tcPr>
            <w:tcW w:w="6139" w:type="dxa"/>
            <w:vAlign w:val="center"/>
          </w:tcPr>
          <w:p w:rsidR="004A21BD" w:rsidRDefault="00F00477">
            <w:pPr>
              <w:pBdr>
                <w:top w:val="nil"/>
                <w:left w:val="nil"/>
                <w:bottom w:val="nil"/>
                <w:right w:val="nil"/>
                <w:between w:val="nil"/>
              </w:pBdr>
              <w:tabs>
                <w:tab w:val="left" w:pos="144"/>
              </w:tabs>
              <w:spacing w:after="120"/>
              <w:rPr>
                <w:color w:val="000000"/>
                <w:sz w:val="22"/>
                <w:szCs w:val="22"/>
              </w:rPr>
            </w:pPr>
            <w:r>
              <w:rPr>
                <w:color w:val="000000"/>
                <w:sz w:val="22"/>
                <w:szCs w:val="22"/>
              </w:rPr>
              <w:t>works arising as a result of a failure of an Asset or a service which is in the scope of the Call-Off Agreement (and for the avoidance of doubt are not Small Works or Projects);</w:t>
            </w: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“Recall”</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a request by the Supplier or manufacturer to return Goods or Replacement Equipment to the Supplier or the manufacturer after the discovery of safety issues or defects </w:t>
            </w:r>
            <w:r>
              <w:rPr>
                <w:color w:val="000000"/>
                <w:sz w:val="22"/>
                <w:szCs w:val="22"/>
              </w:rPr>
              <w:lastRenderedPageBreak/>
              <w:t>(including defects in the right IPR rights) that might endanger health or hinder performance;</w:t>
            </w: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"Recipient Party"</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Party which receives or obtains directly or indirectly Confidential Information;</w:t>
            </w: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"Rectification Plan"</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Supplier’s plan (or revised plan) to rectify it’s breach using the template in Joint Schedule 10 (Rectification Plan Template) which shall include:</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 xml:space="preserve">full details of the Default that has occurred, including a root cause analysis; </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the actual or anticipated effect of the Default; and</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"Rectification Plan Process"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process set out in Core Terms clause 10.4.3 (Rectification Plan Process);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"Registers"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register and configuration database referred to in Paragraph 1.2 of Call Off Schedule 10;</w:t>
            </w:r>
          </w:p>
        </w:tc>
      </w:tr>
      <w:tr w:rsidR="004A21BD">
        <w:trPr>
          <w:trHeight w:val="1000"/>
        </w:trPr>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"Regulations"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Public Contracts Regulations 2015 and/or the Public Contracts (Scotland) Regulations 2015 (as the context requires) as amended from time to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"Related Supplier"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person who provides Deliverables to the Buyer which are related to the Deliverables from time to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"Relevant Authority"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Authority which is party to the Contract to which a right or obligation is owed, as the context requires;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"Relevant Authority's Confidential Information"</w:t>
            </w:r>
          </w:p>
        </w:tc>
        <w:tc>
          <w:tcPr>
            <w:tcW w:w="6139" w:type="dxa"/>
            <w:vAlign w:val="center"/>
          </w:tcPr>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all Personal Data and any information, however it is conveyed, that relates to the business, affairs, developments, property rights, trade secrets, Know-How and IPR of the Relevant Authority (including all Relevant Authority Existing IPR and New IPR);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information derived from any of the above;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"Relevant   Requirements"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all applicable Law relating to bribery, corruption and fraud, including the Bribery Act 2010 and any guidance issued by the Secretary of State for Justice pursuant to section 9 of the Bribery Act 2010;</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"Relevant Tax Authority"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HMRC, or, if applicable, the tax authority in the jurisdiction in which the Supplier is established;</w:t>
            </w:r>
          </w:p>
        </w:tc>
      </w:tr>
      <w:tr w:rsidR="004A21BD">
        <w:tc>
          <w:tcPr>
            <w:tcW w:w="2877" w:type="dxa"/>
            <w:shd w:val="clear" w:color="auto" w:fill="auto"/>
          </w:tcPr>
          <w:p w:rsidR="004A21BD" w:rsidRDefault="00F00477">
            <w:pPr>
              <w:spacing w:after="200" w:line="276" w:lineRule="auto"/>
              <w:ind w:left="72"/>
              <w:jc w:val="center"/>
              <w:rPr>
                <w:b/>
              </w:rPr>
            </w:pPr>
            <w:r>
              <w:rPr>
                <w:b/>
              </w:rPr>
              <w:t>"Relevant Transfer"</w:t>
            </w:r>
          </w:p>
        </w:tc>
        <w:tc>
          <w:tcPr>
            <w:tcW w:w="6139" w:type="dxa"/>
            <w:shd w:val="clear" w:color="auto" w:fill="auto"/>
          </w:tcPr>
          <w:p w:rsidR="004A21BD" w:rsidRDefault="00F00477">
            <w:pPr>
              <w:pBdr>
                <w:top w:val="nil"/>
                <w:left w:val="nil"/>
                <w:bottom w:val="nil"/>
                <w:right w:val="nil"/>
                <w:between w:val="nil"/>
              </w:pBdr>
              <w:tabs>
                <w:tab w:val="left" w:pos="-9"/>
              </w:tabs>
              <w:spacing w:after="120"/>
              <w:ind w:left="170" w:hanging="170"/>
              <w:rPr>
                <w:color w:val="000000"/>
                <w:sz w:val="22"/>
                <w:szCs w:val="22"/>
              </w:rPr>
            </w:pPr>
            <w:r>
              <w:rPr>
                <w:color w:val="000000"/>
                <w:sz w:val="22"/>
                <w:szCs w:val="22"/>
                <w:highlight w:val="white"/>
              </w:rPr>
              <w:t>    a transfer of employment to which the Employment Regulations applies, and for the purposes of Schedule 6 (TUPE Surcharge) paragraphs 2.1.1 &amp; 2.2.2 only shall include the situation where the Former Supplier becomes the Supplier on the Start Date  ;</w:t>
            </w:r>
          </w:p>
        </w:tc>
      </w:tr>
      <w:tr w:rsidR="004A21BD">
        <w:tc>
          <w:tcPr>
            <w:tcW w:w="2877" w:type="dxa"/>
            <w:shd w:val="clear" w:color="auto" w:fill="auto"/>
          </w:tcPr>
          <w:p w:rsidR="004A21BD" w:rsidRDefault="00F00477">
            <w:pPr>
              <w:spacing w:after="200" w:line="276" w:lineRule="auto"/>
              <w:ind w:left="72"/>
              <w:jc w:val="center"/>
              <w:rPr>
                <w:b/>
              </w:rPr>
            </w:pPr>
            <w:r>
              <w:rPr>
                <w:b/>
              </w:rPr>
              <w:t>"Relevant Transfer Date"</w:t>
            </w:r>
          </w:p>
        </w:tc>
        <w:tc>
          <w:tcPr>
            <w:tcW w:w="6139" w:type="dxa"/>
            <w:shd w:val="clear" w:color="auto" w:fill="auto"/>
          </w:tcPr>
          <w:p w:rsidR="004A21BD" w:rsidRDefault="00F00477">
            <w:pPr>
              <w:pBdr>
                <w:top w:val="nil"/>
                <w:left w:val="nil"/>
                <w:bottom w:val="nil"/>
                <w:right w:val="nil"/>
                <w:between w:val="nil"/>
              </w:pBdr>
              <w:tabs>
                <w:tab w:val="left" w:pos="-9"/>
              </w:tabs>
              <w:spacing w:after="120"/>
              <w:ind w:left="170" w:hanging="170"/>
              <w:rPr>
                <w:color w:val="000000"/>
                <w:sz w:val="22"/>
                <w:szCs w:val="22"/>
              </w:rPr>
            </w:pPr>
            <w:r>
              <w:rPr>
                <w:color w:val="000000"/>
                <w:sz w:val="22"/>
                <w:szCs w:val="22"/>
              </w:rPr>
              <w:t xml:space="preserve">   in relation to a Relevant Transfer, the date upon which the Relevant Transfer takes place, and for the purposes of Part D: Pensions, shall include the Start Date, where appropriate;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"Reminder Notice"</w:t>
            </w:r>
          </w:p>
        </w:tc>
        <w:tc>
          <w:tcPr>
            <w:tcW w:w="6139" w:type="dxa"/>
            <w:vAlign w:val="center"/>
          </w:tcPr>
          <w:p w:rsidR="004A21BD" w:rsidRDefault="00F00477">
            <w:pPr>
              <w:numPr>
                <w:ilvl w:val="0"/>
                <w:numId w:val="4"/>
              </w:numPr>
              <w:pBdr>
                <w:top w:val="nil"/>
                <w:left w:val="nil"/>
                <w:bottom w:val="nil"/>
                <w:right w:val="nil"/>
                <w:between w:val="nil"/>
              </w:pBdr>
              <w:tabs>
                <w:tab w:val="left" w:pos="1985"/>
                <w:tab w:val="left" w:pos="2127"/>
              </w:tabs>
              <w:spacing w:after="120"/>
              <w:ind w:left="173" w:hanging="173"/>
              <w:rPr>
                <w:color w:val="000000"/>
              </w:rPr>
            </w:pPr>
            <w:r>
              <w:rPr>
                <w:color w:val="000000"/>
                <w:sz w:val="22"/>
                <w:szCs w:val="22"/>
              </w:rPr>
              <w:t>a notice sent in accordance with Core Terms clause 10.6 given by the Supplier to the Buyer providing notification that payment has not been received on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"Replacement Deliverables"</w:t>
            </w:r>
          </w:p>
        </w:tc>
        <w:tc>
          <w:tcPr>
            <w:tcW w:w="6139" w:type="dxa"/>
            <w:vAlign w:val="center"/>
          </w:tcPr>
          <w:p w:rsidR="004A21BD" w:rsidRDefault="00F00477">
            <w:pPr>
              <w:numPr>
                <w:ilvl w:val="0"/>
                <w:numId w:val="4"/>
              </w:numPr>
              <w:pBdr>
                <w:top w:val="nil"/>
                <w:left w:val="nil"/>
                <w:bottom w:val="nil"/>
                <w:right w:val="nil"/>
                <w:between w:val="nil"/>
              </w:pBdr>
              <w:tabs>
                <w:tab w:val="left" w:pos="1985"/>
                <w:tab w:val="left" w:pos="2127"/>
              </w:tabs>
              <w:spacing w:after="120"/>
              <w:ind w:left="173" w:hanging="173"/>
              <w:rPr>
                <w:color w:val="000000"/>
              </w:rPr>
            </w:pPr>
            <w:r>
              <w:rPr>
                <w:color w:val="000000"/>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“Replacement Equipment”</w:t>
            </w:r>
          </w:p>
        </w:tc>
        <w:tc>
          <w:tcPr>
            <w:tcW w:w="6139" w:type="dxa"/>
            <w:vAlign w:val="center"/>
          </w:tcPr>
          <w:p w:rsidR="004A21BD" w:rsidRDefault="00F00477">
            <w:pPr>
              <w:numPr>
                <w:ilvl w:val="0"/>
                <w:numId w:val="4"/>
              </w:numPr>
              <w:pBdr>
                <w:top w:val="nil"/>
                <w:left w:val="nil"/>
                <w:bottom w:val="nil"/>
                <w:right w:val="nil"/>
                <w:between w:val="nil"/>
              </w:pBdr>
              <w:tabs>
                <w:tab w:val="left" w:pos="1985"/>
                <w:tab w:val="left" w:pos="2127"/>
              </w:tabs>
              <w:spacing w:after="120"/>
              <w:ind w:left="173" w:hanging="173"/>
              <w:rPr>
                <w:color w:val="000000"/>
              </w:rPr>
            </w:pPr>
            <w:r>
              <w:rPr>
                <w:color w:val="000000"/>
                <w:sz w:val="22"/>
                <w:szCs w:val="22"/>
              </w:rPr>
              <w:t>plant, spare parts, equipment, replacement parts, materials and other items (whether or not reused or reconditioned) supplied by the Supplier in order to deliver construction works, maintenance, repair or replacement Services,</w:t>
            </w:r>
            <w:r>
              <w:rPr>
                <w:color w:val="FF0000"/>
                <w:sz w:val="22"/>
                <w:szCs w:val="22"/>
              </w:rPr>
              <w:t xml:space="preserve"> </w:t>
            </w:r>
            <w:r>
              <w:rPr>
                <w:color w:val="000000"/>
                <w:sz w:val="22"/>
                <w:szCs w:val="22"/>
              </w:rPr>
              <w:t>but excluding Goods specified in the Order Form (if any);</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"Replacement Goods"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goods which are substantially similar to any of the Goods and which the Buyer receives in substitution for any of the Goods following the End Date, whether those goods are provided by the Buyer internally and/or by any third party;</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"Replacement Services"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services which are substantially similar to any of the Services and which the Buyer receives in substitution for any of the Services following the End Date, whether those goods are provided by the Buyer internally and/or by any third party;</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"Replacement Subcontractor"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Subcontractor of the Replacement Supplier to whom Transferring Supplier Employees will transfer on a Service Transfer Date (or any Subcontractor of any such Subcontractor);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"Replacement Supplier"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"Request For Information"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request for information or an apparent request relating to a Contract for the provision of the Deliverables or an apparent request for such information under the FOIA or the EIRs;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"Required Insurances"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insurances required by Joint Schedule 3 and Call Off Schedule 11 (Insurance Requirements) or any additional insurances specified in the Order Form;</w:t>
            </w:r>
          </w:p>
        </w:tc>
      </w:tr>
      <w:tr w:rsidR="004A21BD">
        <w:trPr>
          <w:trHeight w:val="500"/>
        </w:trPr>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"Resource Rates"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those rates set out in the Pricing Matrix</w:t>
            </w:r>
            <w:r>
              <w:rPr>
                <w:rFonts w:ascii="Arial" w:eastAsia="Arial" w:hAnsi="Arial" w:cs="Arial"/>
                <w:color w:val="000000"/>
                <w:sz w:val="22"/>
                <w:szCs w:val="22"/>
              </w:rPr>
              <w: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“Response Level”</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jc w:val="both"/>
              <w:rPr>
                <w:color w:val="000000"/>
              </w:rPr>
            </w:pPr>
            <w:r>
              <w:rPr>
                <w:color w:val="000000"/>
                <w:sz w:val="22"/>
                <w:szCs w:val="22"/>
              </w:rPr>
              <w:t>means the levels of protective security measures that may</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be required in response to a terrorist threat;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"Review Report"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Paragraph 6.2 of Call Off Schedule 6;</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"Satisfaction Certificate"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“Safe System of Work”</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222222"/>
                <w:sz w:val="22"/>
                <w:szCs w:val="22"/>
                <w:highlight w:val="white"/>
              </w:rPr>
              <w:t>a procedure that results from a systematic examination of a working process, that identifies hazards and specifies work methods designed either to eliminate the hazards or controls and minimise the relevant risks;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“Schedules"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attachment to a Framework or Call-Off Contract which contains important information specific to each aspect of buying and selling;</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“Schedule of Rates”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Labour rates are captured in Framework Schedule 3 – Framework Prices and detail the hourly rates for the different trades the supplier will use to fulfil all Mandatory Services, and Non Mandatory services indicated. Labour rates should be proportionally linked to the Standard Service Rates.</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Labour rates should take into account all costs involved in supplying that trade, other than Management and Corporate Overhead, and Profit, which will be added when the rates are used.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Operational Working Hours</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Out of hours Monday to Friday and Saturday am</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Out of hours Saturday pm, Sunday and Bank Holidays</w:t>
            </w:r>
          </w:p>
          <w:p w:rsidR="004A21BD" w:rsidRDefault="004A21BD">
            <w:pPr>
              <w:numPr>
                <w:ilvl w:val="0"/>
                <w:numId w:val="4"/>
              </w:numPr>
              <w:pBdr>
                <w:top w:val="nil"/>
                <w:left w:val="nil"/>
                <w:bottom w:val="nil"/>
                <w:right w:val="nil"/>
                <w:between w:val="nil"/>
              </w:pBdr>
              <w:tabs>
                <w:tab w:val="left" w:pos="-9"/>
              </w:tabs>
              <w:spacing w:after="120"/>
              <w:rPr>
                <w:color w:val="000000"/>
              </w:rPr>
            </w:pP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Labour rates will be used, where appropriate, to price Billable Works, Projects, New Works, and where Work Orders exceed the Inclusive Repairs Threshold, where the works is to </w:t>
            </w:r>
            <w:r>
              <w:rPr>
                <w:color w:val="000000"/>
                <w:sz w:val="22"/>
                <w:szCs w:val="22"/>
              </w:rPr>
              <w:lastRenderedPageBreak/>
              <w:t>be completed by the labour resources allocated to the Call Off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"Security Management Plan"</w:t>
            </w:r>
          </w:p>
        </w:tc>
        <w:tc>
          <w:tcPr>
            <w:tcW w:w="6139" w:type="dxa"/>
            <w:vAlign w:val="center"/>
          </w:tcPr>
          <w:p w:rsidR="004A21BD" w:rsidRDefault="00F00477">
            <w:pPr>
              <w:numPr>
                <w:ilvl w:val="0"/>
                <w:numId w:val="4"/>
              </w:numPr>
              <w:pBdr>
                <w:top w:val="nil"/>
                <w:left w:val="nil"/>
                <w:bottom w:val="nil"/>
                <w:right w:val="nil"/>
                <w:between w:val="nil"/>
              </w:pBdr>
              <w:spacing w:after="200" w:line="276" w:lineRule="auto"/>
              <w:contextualSpacing/>
              <w:rPr>
                <w:color w:val="000000"/>
              </w:rPr>
            </w:pPr>
            <w:r>
              <w:rPr>
                <w:color w:val="000000"/>
                <w:sz w:val="22"/>
                <w:szCs w:val="22"/>
              </w:rPr>
              <w:t>the Supplier's security management plan prepared pursuant to Call Off Schedule 9, a draft of which has been provided by the Supplier to the Buyer and as updated from time to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"Security Policy"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Buyer's security policy, referred to in the Order Form, in force as at the Call-Off Start Date (a copy of which has been supplied to the Supplier), as updated from time to time and notified to the Supplier;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"Self-Audit Certificate"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4A21BD" w:rsidRDefault="00F00477">
            <w:pPr>
              <w:numPr>
                <w:ilvl w:val="0"/>
                <w:numId w:val="4"/>
              </w:numPr>
              <w:pBdr>
                <w:top w:val="nil"/>
                <w:left w:val="nil"/>
                <w:bottom w:val="nil"/>
                <w:right w:val="nil"/>
                <w:between w:val="nil"/>
              </w:pBdr>
              <w:tabs>
                <w:tab w:val="left" w:pos="141"/>
              </w:tabs>
              <w:spacing w:after="120"/>
              <w:ind w:left="771" w:hanging="771"/>
              <w:rPr>
                <w:color w:val="000000"/>
              </w:rPr>
            </w:pPr>
            <w:r>
              <w:rPr>
                <w:color w:val="000000"/>
                <w:sz w:val="22"/>
                <w:szCs w:val="22"/>
              </w:rPr>
              <w:t>a)</w:t>
            </w:r>
            <w:r>
              <w:rPr>
                <w:color w:val="000000"/>
                <w:sz w:val="22"/>
                <w:szCs w:val="22"/>
              </w:rPr>
              <w:tab/>
              <w:t>Orders are clearly identified as such in the order processing and invoicing systems and, where required, Orders are correctly reported in the MI Reports;</w:t>
            </w:r>
          </w:p>
          <w:p w:rsidR="004A21BD" w:rsidRDefault="00F00477">
            <w:pPr>
              <w:numPr>
                <w:ilvl w:val="0"/>
                <w:numId w:val="4"/>
              </w:numPr>
              <w:pBdr>
                <w:top w:val="nil"/>
                <w:left w:val="nil"/>
                <w:bottom w:val="nil"/>
                <w:right w:val="nil"/>
                <w:between w:val="nil"/>
              </w:pBdr>
              <w:tabs>
                <w:tab w:val="left" w:pos="141"/>
              </w:tabs>
              <w:spacing w:after="120"/>
              <w:ind w:left="771" w:hanging="771"/>
              <w:rPr>
                <w:color w:val="000000"/>
              </w:rPr>
            </w:pPr>
            <w:r>
              <w:rPr>
                <w:color w:val="000000"/>
                <w:sz w:val="22"/>
                <w:szCs w:val="22"/>
              </w:rPr>
              <w:t>b)</w:t>
            </w:r>
            <w:r>
              <w:rPr>
                <w:color w:val="000000"/>
                <w:sz w:val="22"/>
                <w:szCs w:val="22"/>
              </w:rPr>
              <w:tab/>
              <w:t>all related invoices are completely and accurately included in the MI Reports;</w:t>
            </w:r>
          </w:p>
          <w:p w:rsidR="004A21BD" w:rsidRDefault="00F00477">
            <w:pPr>
              <w:numPr>
                <w:ilvl w:val="0"/>
                <w:numId w:val="4"/>
              </w:numPr>
              <w:pBdr>
                <w:top w:val="nil"/>
                <w:left w:val="nil"/>
                <w:bottom w:val="nil"/>
                <w:right w:val="nil"/>
                <w:between w:val="nil"/>
              </w:pBdr>
              <w:tabs>
                <w:tab w:val="left" w:pos="141"/>
              </w:tabs>
              <w:spacing w:after="120"/>
              <w:ind w:left="771" w:hanging="771"/>
              <w:rPr>
                <w:color w:val="000000"/>
              </w:rPr>
            </w:pPr>
            <w:r>
              <w:rPr>
                <w:color w:val="000000"/>
                <w:sz w:val="22"/>
                <w:szCs w:val="22"/>
              </w:rPr>
              <w:t>c)</w:t>
            </w:r>
            <w:r>
              <w:rPr>
                <w:color w:val="000000"/>
                <w:sz w:val="22"/>
                <w:szCs w:val="22"/>
              </w:rPr>
              <w:tab/>
              <w:t>all Charges to Buyers comply with any requirements under this Framework Contract on maximum mark-ups, discounts, charge rates, fixed quotes (as applicable); and</w:t>
            </w:r>
          </w:p>
          <w:p w:rsidR="004A21BD" w:rsidRDefault="00F00477">
            <w:pPr>
              <w:numPr>
                <w:ilvl w:val="0"/>
                <w:numId w:val="4"/>
              </w:numPr>
              <w:pBdr>
                <w:top w:val="nil"/>
                <w:left w:val="nil"/>
                <w:bottom w:val="nil"/>
                <w:right w:val="nil"/>
                <w:between w:val="nil"/>
              </w:pBdr>
              <w:tabs>
                <w:tab w:val="left" w:pos="141"/>
              </w:tabs>
              <w:spacing w:after="120"/>
              <w:ind w:left="771" w:hanging="771"/>
              <w:rPr>
                <w:color w:val="000000"/>
              </w:rPr>
            </w:pPr>
            <w:r>
              <w:rPr>
                <w:color w:val="000000"/>
                <w:sz w:val="22"/>
                <w:szCs w:val="22"/>
              </w:rPr>
              <w:t>d)</w:t>
            </w:r>
            <w:r>
              <w:rPr>
                <w:color w:val="000000"/>
                <w:sz w:val="22"/>
                <w:szCs w:val="22"/>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"Serious Fraud Office"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UK Government body named as such as may be renamed or replaced by an equivalent body from time to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"Services"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services made available by the Supplier as specified in Framework Schedule 1 (Specification) and in relation to a Call-Off Contract as specified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“Service Bundle”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complementary</w:t>
            </w:r>
            <w:proofErr w:type="gramEnd"/>
            <w:r>
              <w:rPr>
                <w:color w:val="000000"/>
                <w:sz w:val="22"/>
                <w:szCs w:val="22"/>
              </w:rPr>
              <w:t xml:space="preserve"> services that have been bundled together to allow customers to purchase multiple services lines using a bundle price as per the Pricing Matrix.</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“Service Delivery Plan”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the plan to be provided by the Supplier which details how the Supplier will deliver all elements of the Services to be delivered under the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"Service Month"</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each Monthly period (or part of a Month at the start and end of the Contract Period where applicable) during the Contract Period when the Supplier provides Deliverables;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"Service Period"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the Order Form;</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“Service Personnel”</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serving personnel employed by MOD within the Armed Forces;</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"Service Transfer"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transfer of the Deliverables (or any part of the Deliverables), for whatever reason, from the Supplier or any Subcontractor to a Replacement Supplier or a Replacement Subcontractor;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"Service Transfer Date"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date of a Service Transfer;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"Sites"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premises (including the Buyer Premises, the Supplier’s premises or third party premises) from, to or at which:</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the Deliverables are (or are to be) provided; 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the Supplier manages, organises or otherwise directs the provision or the use of the Deliverables;</w:t>
            </w:r>
          </w:p>
          <w:p w:rsidR="004A21BD" w:rsidRDefault="004A21BD">
            <w:pPr>
              <w:pBdr>
                <w:top w:val="nil"/>
                <w:left w:val="nil"/>
                <w:bottom w:val="nil"/>
                <w:right w:val="nil"/>
                <w:between w:val="nil"/>
              </w:pBdr>
              <w:tabs>
                <w:tab w:val="left" w:pos="144"/>
              </w:tabs>
              <w:spacing w:after="120"/>
              <w:ind w:left="432" w:hanging="545"/>
              <w:rPr>
                <w:color w:val="000000"/>
                <w:sz w:val="22"/>
                <w:szCs w:val="22"/>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"Small Works"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elective works which are not Projects;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“SME”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“Small and Medium Enterprises” (SME) means an organisation or entity:</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having less than 250 employees; and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        having an annual turnover of less than forty million pounds (£40,000,000); or</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        having a balance sheet of less than thirty five million pounds (£35,000,000); and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(d)        is totally independent of other enterprises; or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b/>
              <w:t>(e)        holds less than 25% of the capital or voting rights in one or more other enterprises and other enterprises do not each own more than 25% of its capital or voting rights;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"Special Terms"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additional Clauses set out in the Framework Award Form or Order Form which shall form part of the respective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"Specific Change in Law"</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"Specification"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specification set out in Framework Schedule 1 (Specification), as may, in relation to a Call-Off Contract, be supplemented by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"Staffing Information"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w:t>
            </w:r>
            <w:r>
              <w:rPr>
                <w:color w:val="000000"/>
                <w:sz w:val="22"/>
                <w:szCs w:val="22"/>
              </w:rPr>
              <w:tab/>
              <w:t>their ages, dates of commencement of employment or engagement, gender and place of work;</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(b)</w:t>
            </w:r>
            <w:r>
              <w:rPr>
                <w:color w:val="000000"/>
                <w:sz w:val="22"/>
                <w:szCs w:val="22"/>
              </w:rPr>
              <w:tab/>
              <w:t xml:space="preserve">details of whether they are employed, </w:t>
            </w:r>
            <w:proofErr w:type="spellStart"/>
            <w:r>
              <w:rPr>
                <w:color w:val="000000"/>
                <w:sz w:val="22"/>
                <w:szCs w:val="22"/>
              </w:rPr>
              <w:t>self employed</w:t>
            </w:r>
            <w:proofErr w:type="spellEnd"/>
            <w:r>
              <w:rPr>
                <w:color w:val="000000"/>
                <w:sz w:val="22"/>
                <w:szCs w:val="22"/>
              </w:rPr>
              <w:t xml:space="preserve"> contractors or consultants, agency workers or otherwise;</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w:t>
            </w:r>
            <w:r>
              <w:rPr>
                <w:color w:val="000000"/>
                <w:sz w:val="22"/>
                <w:szCs w:val="22"/>
              </w:rPr>
              <w:tab/>
              <w:t>the identity of the employer or relevant contracting Party;</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(d)</w:t>
            </w:r>
            <w:r>
              <w:rPr>
                <w:color w:val="000000"/>
                <w:sz w:val="22"/>
                <w:szCs w:val="22"/>
              </w:rPr>
              <w:tab/>
              <w:t>their relevant contractual notice periods and any other terms relating to termination of employment, including redundancy procedures, and redundancy payments;</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(e)</w:t>
            </w:r>
            <w:r>
              <w:rPr>
                <w:color w:val="000000"/>
                <w:sz w:val="22"/>
                <w:szCs w:val="22"/>
              </w:rPr>
              <w:tab/>
              <w:t>their wages, salaries, bonuses and profit sharing arrangements as applicable;</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(f)</w:t>
            </w:r>
            <w:r>
              <w:rPr>
                <w:color w:val="000000"/>
                <w:sz w:val="22"/>
                <w:szCs w:val="22"/>
              </w:rPr>
              <w:tab/>
              <w:t>details of other employment-related benefits, including (without limitation) medical insurance, life assurance, pension or other retirement benefit schemes, share option schemes and company car schedules applicable to them;</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(g)</w:t>
            </w:r>
            <w:r>
              <w:rPr>
                <w:color w:val="000000"/>
                <w:sz w:val="22"/>
                <w:szCs w:val="22"/>
              </w:rPr>
              <w:tab/>
              <w:t>any outstanding or potential contractual, statutory or other liabilities in respect of such individuals (including in respect of personal injury claims);</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w:t>
            </w:r>
            <w:r>
              <w:rPr>
                <w:color w:val="000000"/>
                <w:sz w:val="22"/>
                <w:szCs w:val="22"/>
              </w:rPr>
              <w:tab/>
              <w:t xml:space="preserve">details of any such individuals on long term sickness absence, parental leave, maternity leave or other authorised long term absence;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t>copies of all relevant documents and materials relating to such information, including copies of relevant contracts of employment (or relevant standard contracts if applied generally in respect of such employees); and</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(j)</w:t>
            </w:r>
            <w:r>
              <w:rPr>
                <w:color w:val="000000"/>
                <w:sz w:val="22"/>
                <w:szCs w:val="22"/>
              </w:rPr>
              <w:tab/>
              <w:t>any other "employee liability information" as such term is defined in regulation 11 of the Employment Regulations;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"Standards"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 xml:space="preserve">standards published by BSI British Standards, the National Standards Body of the United Kingdom, the International Organisation for Standardisation or other reputable or equivalent bodies (and their successor bodies) that a skilled </w:t>
            </w:r>
            <w:r>
              <w:rPr>
                <w:color w:val="000000"/>
                <w:sz w:val="22"/>
                <w:szCs w:val="22"/>
              </w:rPr>
              <w:lastRenderedPageBreak/>
              <w:t>and experienced operator in the same type of industry or business sector as the Supplier would reasonably and ordinarily be expected to comply with;</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standards detailed in the specification in Schedule 1 (Specification);</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standards detailed by the Buyer in the Order Form or agreed between the Parties from time to time;</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relevant Government codes of practice and guidance applicable from time to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“Standard Service”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means</w:t>
            </w:r>
            <w:proofErr w:type="gramEnd"/>
            <w:r>
              <w:rPr>
                <w:color w:val="000000"/>
                <w:sz w:val="22"/>
                <w:szCs w:val="22"/>
              </w:rPr>
              <w:t xml:space="preserve"> delivery of the service to the defined standard as per Framework Schedule 1 – Specification.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“Standard Service Pricing”</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means</w:t>
            </w:r>
            <w:proofErr w:type="gramEnd"/>
            <w:r>
              <w:rPr>
                <w:color w:val="000000"/>
                <w:sz w:val="22"/>
                <w:szCs w:val="22"/>
              </w:rPr>
              <w:t xml:space="preserve"> the price to deliver the Standard Service using the rates, as per the Pricing Matrix, per annum.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"Start Date"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 the case of the Framework Contract, the date specified on the Framework Award Form, and in the case of a Call-Off Contract, the date specified in the Order Form following the end of the Mobilisation Period;</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"Statement of Requirements"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statement issued by the Buyer detailing its requirements in respect of Deliverables issued in accordance with the Call-Off Procedure;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“Statutory Compliance”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Compliance with and adherence to all laws, regulations and statutes;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"Storage Media"</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part of any device that is capable of storing and retrieving data;</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"Sub-Contract"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contract or agreement (or proposed contract or agreement), other than a Call-Off Contract or the Framework Contract, pursuant to which a third party:</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provides the Deliverables (or any part of them);</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provides facilities or services necessary for the provision of the Deliverables (or any part of them); and/or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is responsible for the management, direction or control of the provision of the Deliverables (or any part of them);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"Subcontractor"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person other than the Supplier, who is a party to a Sub-Contract and the servants or agents of that person;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w:t>
            </w:r>
            <w:proofErr w:type="spellStart"/>
            <w:r>
              <w:rPr>
                <w:b/>
                <w:color w:val="000000"/>
                <w:sz w:val="22"/>
                <w:szCs w:val="22"/>
              </w:rPr>
              <w:t>Subprocessor</w:t>
            </w:r>
            <w:proofErr w:type="spellEnd"/>
            <w:r>
              <w:rPr>
                <w:b/>
                <w:color w:val="000000"/>
                <w:sz w:val="22"/>
                <w:szCs w:val="22"/>
              </w:rPr>
              <w: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third Party appointed to process Personal Data on behalf of the Supplier related to a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"Supporting Documentation"</w:t>
            </w:r>
          </w:p>
        </w:tc>
        <w:tc>
          <w:tcPr>
            <w:tcW w:w="6139" w:type="dxa"/>
            <w:vAlign w:val="center"/>
          </w:tcPr>
          <w:p w:rsidR="004A21BD" w:rsidRDefault="00F00477">
            <w:pPr>
              <w:numPr>
                <w:ilvl w:val="0"/>
                <w:numId w:val="4"/>
              </w:numPr>
              <w:pBdr>
                <w:top w:val="nil"/>
                <w:left w:val="nil"/>
                <w:bottom w:val="nil"/>
                <w:right w:val="nil"/>
                <w:between w:val="nil"/>
              </w:pBdr>
              <w:spacing w:after="200" w:line="276" w:lineRule="auto"/>
              <w:contextualSpacing/>
              <w:rPr>
                <w:color w:val="000000"/>
              </w:rPr>
            </w:pPr>
            <w:r>
              <w:rPr>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"Supplier"</w:t>
            </w:r>
          </w:p>
        </w:tc>
        <w:tc>
          <w:tcPr>
            <w:tcW w:w="6139" w:type="dxa"/>
            <w:vAlign w:val="center"/>
          </w:tcPr>
          <w:p w:rsidR="004A21BD" w:rsidRDefault="00F00477">
            <w:r>
              <w:t>the person, firm or company identified in the Framework Award Form; Where the Supplier is an individual or a</w:t>
            </w:r>
          </w:p>
          <w:p w:rsidR="004A21BD" w:rsidRDefault="00F00477">
            <w:pPr>
              <w:pBdr>
                <w:top w:val="nil"/>
                <w:left w:val="nil"/>
                <w:bottom w:val="nil"/>
                <w:right w:val="nil"/>
                <w:between w:val="nil"/>
              </w:pBdr>
              <w:spacing w:after="200"/>
              <w:rPr>
                <w:color w:val="000000"/>
              </w:rPr>
            </w:pPr>
            <w:r>
              <w:rPr>
                <w:color w:val="000000"/>
              </w:rPr>
              <w:t>partnership, the expression shall include the personal representatives of the individual or of the partners, as the case may be, and the expression shall also include any person to whom the benefit of the Relevant Contract may be assigned by the Supplier with the consent of the Relevant Authority”</w:t>
            </w:r>
          </w:p>
          <w:p w:rsidR="004A21BD" w:rsidRDefault="004A21BD">
            <w:pPr>
              <w:numPr>
                <w:ilvl w:val="0"/>
                <w:numId w:val="4"/>
              </w:numPr>
              <w:pBdr>
                <w:top w:val="nil"/>
                <w:left w:val="nil"/>
                <w:bottom w:val="nil"/>
                <w:right w:val="nil"/>
                <w:between w:val="nil"/>
              </w:pBdr>
              <w:tabs>
                <w:tab w:val="left" w:pos="-9"/>
              </w:tabs>
              <w:spacing w:after="120"/>
              <w:rPr>
                <w:color w:val="000000"/>
              </w:rPr>
            </w:pP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Assets"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all assets and rights used by the Supplier to provide the Deliverables in accordance with the Call-Off Contract but excluding the Buyer Assets;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Authorised Representative"</w:t>
            </w:r>
          </w:p>
        </w:tc>
        <w:tc>
          <w:tcPr>
            <w:tcW w:w="6139" w:type="dxa"/>
            <w:vAlign w:val="center"/>
          </w:tcPr>
          <w:p w:rsidR="004A21BD" w:rsidRDefault="00B9479D">
            <w:pPr>
              <w:numPr>
                <w:ilvl w:val="0"/>
                <w:numId w:val="4"/>
              </w:numPr>
              <w:pBdr>
                <w:top w:val="nil"/>
                <w:left w:val="nil"/>
                <w:bottom w:val="nil"/>
                <w:right w:val="nil"/>
                <w:between w:val="nil"/>
              </w:pBdr>
              <w:tabs>
                <w:tab w:val="left" w:pos="-9"/>
              </w:tabs>
              <w:spacing w:after="120"/>
              <w:rPr>
                <w:color w:val="000000"/>
              </w:rPr>
            </w:pPr>
            <w:r>
              <w:rPr>
                <w:rFonts w:ascii="docs-Calibri" w:hAnsi="docs-Calibri"/>
                <w:color w:val="000000"/>
                <w:sz w:val="23"/>
                <w:szCs w:val="23"/>
                <w:shd w:val="clear" w:color="auto" w:fill="FFFFFF"/>
              </w:rPr>
              <w:t>the representative appointed by the Supplier named in the Framework Award Form, or later defined in a Call-Off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Brief"</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information that the Buyers will provide in order to outline their requirements</w:t>
            </w:r>
            <w:r>
              <w:rPr>
                <w:color w:val="000000"/>
                <w:sz w:val="22"/>
                <w:szCs w:val="22"/>
              </w:rPr>
              <w:tab/>
              <w:t>as per Framework Schedule 7</w:t>
            </w:r>
            <w:r>
              <w:rPr>
                <w:color w:val="000000"/>
                <w:sz w:val="22"/>
                <w:szCs w:val="22"/>
              </w:rPr>
              <w:tab/>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Contract Manager”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18"/>
                <w:szCs w:val="18"/>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"Supplier's Confidential Information"</w:t>
            </w:r>
          </w:p>
        </w:tc>
        <w:tc>
          <w:tcPr>
            <w:tcW w:w="6139" w:type="dxa"/>
            <w:vAlign w:val="center"/>
          </w:tcPr>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information, however it is conveyed, that relates to the business, affairs, developments, IPR of the Supplier (including the Supplier Existing IPR) trade secrets, Know-How, and/or personnel of the Supplier;</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Information derived from any of the above;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Equipment"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Supplier's hardware, computer and telecoms devices, equipment, plant, materials and such other items used by the Supplier (but not hired, leased or loaned from the Buyer) in the performance of its obligations under this Call-Off Contract but excluding Replacement Equipment</w:t>
            </w:r>
            <w:r>
              <w:rPr>
                <w:b/>
                <w:color w:val="000000"/>
                <w:sz w:val="22"/>
                <w:szCs w:val="22"/>
              </w:rPr>
              <w:t>;</w:t>
            </w:r>
            <w:r>
              <w:rPr>
                <w:color w:val="000000"/>
                <w:sz w:val="22"/>
                <w:szCs w:val="22"/>
              </w:rPr>
              <w:t>  </w:t>
            </w:r>
          </w:p>
        </w:tc>
      </w:tr>
      <w:tr w:rsidR="004A21BD">
        <w:tc>
          <w:tcPr>
            <w:tcW w:w="2877" w:type="dxa"/>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"Supplier's Final Supplier Personnel List"</w:t>
            </w:r>
          </w:p>
        </w:tc>
        <w:tc>
          <w:tcPr>
            <w:tcW w:w="6139" w:type="dxa"/>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list provided by the Supplier of all Supplier Personnel who will transfer under the Employment Regulations on the Service Transfer Date;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Non-Performance"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where the Supplier has failed to:</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Achieve a Milestone by its Milestone Date;</w:t>
            </w:r>
          </w:p>
          <w:p w:rsidR="004A21BD" w:rsidRDefault="00F00477">
            <w:pPr>
              <w:numPr>
                <w:ilvl w:val="1"/>
                <w:numId w:val="4"/>
              </w:numPr>
              <w:pBdr>
                <w:top w:val="nil"/>
                <w:left w:val="nil"/>
                <w:bottom w:val="nil"/>
                <w:right w:val="nil"/>
                <w:between w:val="nil"/>
              </w:pBdr>
              <w:tabs>
                <w:tab w:val="left" w:pos="144"/>
              </w:tabs>
              <w:spacing w:after="120"/>
              <w:ind w:hanging="288"/>
              <w:rPr>
                <w:sz w:val="22"/>
                <w:szCs w:val="22"/>
              </w:rPr>
            </w:pPr>
            <w:r>
              <w:rPr>
                <w:color w:val="000000"/>
                <w:sz w:val="22"/>
                <w:szCs w:val="22"/>
              </w:rPr>
              <w:t>provide the Goods and/or Services in accordance with the KPIs; and/or</w:t>
            </w:r>
          </w:p>
          <w:p w:rsidR="004A21BD" w:rsidRDefault="00F00477">
            <w:pPr>
              <w:numPr>
                <w:ilvl w:val="1"/>
                <w:numId w:val="4"/>
              </w:numPr>
              <w:pBdr>
                <w:top w:val="nil"/>
                <w:left w:val="nil"/>
                <w:bottom w:val="nil"/>
                <w:right w:val="nil"/>
                <w:between w:val="nil"/>
              </w:pBdr>
              <w:tabs>
                <w:tab w:val="left" w:pos="144"/>
              </w:tabs>
              <w:spacing w:after="120"/>
              <w:ind w:left="576" w:hanging="432"/>
              <w:rPr>
                <w:sz w:val="22"/>
                <w:szCs w:val="22"/>
              </w:rPr>
            </w:pPr>
            <w:r>
              <w:rPr>
                <w:color w:val="000000"/>
                <w:sz w:val="22"/>
                <w:szCs w:val="22"/>
              </w:rPr>
              <w:t>comply with an obligation under a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"Supplier Profit"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Profit Margin"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"Supplier's Provisional Supplier Personnel List"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Review Meetings"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has</w:t>
            </w:r>
            <w:proofErr w:type="gramEnd"/>
            <w:r>
              <w:rPr>
                <w:color w:val="000000"/>
                <w:sz w:val="22"/>
                <w:szCs w:val="22"/>
              </w:rPr>
              <w:t xml:space="preserve"> the meaning given to it in Paragraph 2.9 of Framework Schedule 4.</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"Supplier Staff"</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all directors, officers, employees, agents, consultants and contractors of the Supplier and/or of any Subcontractor engaged in the performance of the Supplier’s obligations under a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"Target Costs"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those costs which are recoverable in accordance with this Call-Off Contract where the target cost pricing option is selected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"Target Cost Pricing Matrix"</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b/>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spreadsheet setting out details of the Charges which is set out in the Order Form and will be provided by the Buyer at Further Competition;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"Target Price"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price which is payable where the target cost pricing option is selected in the Order Form;</w:t>
            </w:r>
          </w:p>
        </w:tc>
      </w:tr>
      <w:tr w:rsidR="004A21BD">
        <w:tc>
          <w:tcPr>
            <w:tcW w:w="2877" w:type="dxa"/>
            <w:shd w:val="clear" w:color="auto" w:fill="auto"/>
          </w:tcPr>
          <w:p w:rsidR="004A21BD" w:rsidRDefault="00F00477">
            <w:pPr>
              <w:ind w:left="72"/>
              <w:jc w:val="center"/>
              <w:rPr>
                <w:b/>
              </w:rPr>
            </w:pPr>
            <w:r>
              <w:rPr>
                <w:b/>
              </w:rPr>
              <w:t>"Termination Assistance"</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activities to be performed by the Supplier pursuant to the Exit Plan, and other assistance required by the Buyer pursuant to the Termination Assistance Notice;</w:t>
            </w:r>
          </w:p>
        </w:tc>
      </w:tr>
      <w:tr w:rsidR="004A21BD">
        <w:tc>
          <w:tcPr>
            <w:tcW w:w="2877" w:type="dxa"/>
            <w:shd w:val="clear" w:color="auto" w:fill="auto"/>
          </w:tcPr>
          <w:p w:rsidR="004A21BD" w:rsidRDefault="00F00477">
            <w:pPr>
              <w:ind w:left="72"/>
              <w:jc w:val="center"/>
              <w:rPr>
                <w:b/>
              </w:rPr>
            </w:pPr>
            <w:r>
              <w:rPr>
                <w:b/>
              </w:rPr>
              <w:t>"Termination Assistance Notice"</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Paragraph 5.1 of Call Off Schedule 10;</w:t>
            </w:r>
          </w:p>
        </w:tc>
      </w:tr>
      <w:tr w:rsidR="004A21BD">
        <w:tc>
          <w:tcPr>
            <w:tcW w:w="2877" w:type="dxa"/>
            <w:shd w:val="clear" w:color="auto" w:fill="auto"/>
          </w:tcPr>
          <w:p w:rsidR="004A21BD" w:rsidRDefault="00F00477">
            <w:pPr>
              <w:ind w:left="72"/>
              <w:jc w:val="center"/>
              <w:rPr>
                <w:b/>
              </w:rPr>
            </w:pPr>
            <w:r>
              <w:rPr>
                <w:b/>
              </w:rPr>
              <w:t>"Termination Assistance Period"</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period specified in a Termination Assistance Notice for which the Supplier is required to provide the Termination Assistance as such period may be extended pursuant to Paragraph 4.2 of Call Off Schedule 10;</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"Termination Notice"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written notice of termination given by one Party to the other, notifying the Party receiving the notice of the intention of the Party giving the notice to terminate a Contract on a specified date and setting out the grounds for termination;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"Test Issue"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variance or non-conformity of the Deliverables or Deliverables from their requirements as set out in a Call-Off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"Test Plan"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 plan:</w:t>
            </w:r>
          </w:p>
          <w:p w:rsidR="004A21BD" w:rsidRDefault="00F00477">
            <w:pPr>
              <w:numPr>
                <w:ilvl w:val="1"/>
                <w:numId w:val="4"/>
              </w:numPr>
              <w:pBdr>
                <w:top w:val="nil"/>
                <w:left w:val="nil"/>
                <w:bottom w:val="nil"/>
                <w:right w:val="nil"/>
                <w:between w:val="nil"/>
              </w:pBdr>
              <w:tabs>
                <w:tab w:val="left" w:pos="141"/>
              </w:tabs>
              <w:spacing w:after="120"/>
              <w:ind w:left="576" w:hanging="432"/>
              <w:rPr>
                <w:sz w:val="22"/>
                <w:szCs w:val="22"/>
              </w:rPr>
            </w:pPr>
            <w:r>
              <w:rPr>
                <w:color w:val="000000"/>
                <w:sz w:val="22"/>
                <w:szCs w:val="22"/>
              </w:rPr>
              <w:t>for the Testing of the Deliverables; and</w:t>
            </w:r>
          </w:p>
          <w:p w:rsidR="004A21BD" w:rsidRDefault="00F00477">
            <w:pPr>
              <w:numPr>
                <w:ilvl w:val="1"/>
                <w:numId w:val="4"/>
              </w:numPr>
              <w:pBdr>
                <w:top w:val="nil"/>
                <w:left w:val="nil"/>
                <w:bottom w:val="nil"/>
                <w:right w:val="nil"/>
                <w:between w:val="nil"/>
              </w:pBdr>
              <w:tabs>
                <w:tab w:val="left" w:pos="144"/>
              </w:tabs>
              <w:spacing w:after="120"/>
              <w:ind w:hanging="288"/>
            </w:pPr>
            <w:r>
              <w:rPr>
                <w:color w:val="000000"/>
                <w:sz w:val="22"/>
                <w:szCs w:val="22"/>
              </w:rPr>
              <w:t>setting out other agreed criteria related to the achievement of Milestones;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"Tests and Testing"</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tests required to be carried out pursuant to a Call-Off Contract as set out in the Test Plan or elsewhere in a Call-Off Contract and "</w:t>
            </w:r>
            <w:r>
              <w:rPr>
                <w:b/>
                <w:color w:val="000000"/>
                <w:sz w:val="22"/>
                <w:szCs w:val="22"/>
              </w:rPr>
              <w:t>Tested</w:t>
            </w:r>
            <w:r>
              <w:rPr>
                <w:color w:val="000000"/>
                <w:sz w:val="22"/>
                <w:szCs w:val="22"/>
              </w:rPr>
              <w:t>" shall be construed accordingly;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"Third Party IPR"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Intellectual Property Rights owned by a third party which is or will be used by the Supplier for the purpose of providing the Deliverables;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"Tier One Billable Works"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Billable Works within the associated total estimated value range as set out in the Order Form;</w:t>
            </w:r>
          </w:p>
        </w:tc>
      </w:tr>
      <w:tr w:rsidR="004A21BD">
        <w:tc>
          <w:tcPr>
            <w:tcW w:w="2877" w:type="dxa"/>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"Tier Two Billable Works"</w:t>
            </w:r>
          </w:p>
        </w:tc>
        <w:tc>
          <w:tcPr>
            <w:tcW w:w="6139" w:type="dxa"/>
            <w:vAlign w:val="center"/>
          </w:tcPr>
          <w:p w:rsidR="004A21BD" w:rsidRDefault="00F00477">
            <w:pPr>
              <w:keepNext/>
              <w:numPr>
                <w:ilvl w:val="0"/>
                <w:numId w:val="4"/>
              </w:numPr>
              <w:pBdr>
                <w:top w:val="nil"/>
                <w:left w:val="nil"/>
                <w:bottom w:val="nil"/>
                <w:right w:val="nil"/>
                <w:between w:val="nil"/>
              </w:pBdr>
              <w:tabs>
                <w:tab w:val="left" w:pos="-9"/>
              </w:tabs>
              <w:spacing w:after="120"/>
              <w:rPr>
                <w:color w:val="000000"/>
              </w:rPr>
            </w:pPr>
            <w:r>
              <w:rPr>
                <w:color w:val="000000"/>
                <w:sz w:val="22"/>
                <w:szCs w:val="22"/>
              </w:rPr>
              <w:t>means Billable Works within the associated total estimated value range as set out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"Tier Three Billable Works"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means Billable Works within the associated total estimated value range as set out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"Tier Four Billable Works"</w:t>
            </w:r>
          </w:p>
        </w:tc>
        <w:tc>
          <w:tcPr>
            <w:tcW w:w="6139" w:type="dxa"/>
            <w:vAlign w:val="center"/>
          </w:tcPr>
          <w:p w:rsidR="004A21BD" w:rsidRDefault="00F00477">
            <w:pPr>
              <w:pBdr>
                <w:top w:val="nil"/>
                <w:left w:val="nil"/>
                <w:bottom w:val="nil"/>
                <w:right w:val="nil"/>
                <w:between w:val="nil"/>
              </w:pBdr>
              <w:tabs>
                <w:tab w:val="left" w:pos="-9"/>
              </w:tabs>
              <w:spacing w:after="120"/>
              <w:ind w:left="170"/>
              <w:rPr>
                <w:color w:val="000000"/>
                <w:sz w:val="22"/>
                <w:szCs w:val="22"/>
              </w:rPr>
            </w:pPr>
            <w:r>
              <w:rPr>
                <w:color w:val="000000"/>
                <w:sz w:val="22"/>
                <w:szCs w:val="22"/>
              </w:rPr>
              <w:t>means Billable Works within the associated total estimated value range as set out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“Total Contract Value”</w:t>
            </w:r>
          </w:p>
        </w:tc>
        <w:tc>
          <w:tcPr>
            <w:tcW w:w="6139" w:type="dxa"/>
            <w:vAlign w:val="center"/>
          </w:tcPr>
          <w:p w:rsidR="004A21BD" w:rsidRDefault="00F00477">
            <w:pPr>
              <w:pBdr>
                <w:top w:val="nil"/>
                <w:left w:val="nil"/>
                <w:bottom w:val="nil"/>
                <w:right w:val="nil"/>
                <w:between w:val="nil"/>
              </w:pBdr>
              <w:tabs>
                <w:tab w:val="left" w:pos="-9"/>
              </w:tabs>
              <w:spacing w:after="120"/>
              <w:ind w:left="170"/>
              <w:rPr>
                <w:color w:val="000000"/>
                <w:sz w:val="22"/>
                <w:szCs w:val="22"/>
              </w:rPr>
            </w:pPr>
            <w:r>
              <w:rPr>
                <w:color w:val="000000"/>
                <w:sz w:val="22"/>
                <w:szCs w:val="22"/>
              </w:rPr>
              <w:t>Has the same meaning as “Charges”</w:t>
            </w:r>
          </w:p>
        </w:tc>
      </w:tr>
      <w:tr w:rsidR="004A21BD">
        <w:tc>
          <w:tcPr>
            <w:tcW w:w="2877" w:type="dxa"/>
            <w:shd w:val="clear" w:color="auto" w:fill="auto"/>
          </w:tcPr>
          <w:p w:rsidR="004A21BD" w:rsidRDefault="00F00477">
            <w:pPr>
              <w:ind w:left="72"/>
              <w:jc w:val="center"/>
              <w:rPr>
                <w:b/>
              </w:rPr>
            </w:pPr>
            <w:r>
              <w:rPr>
                <w:b/>
              </w:rPr>
              <w:t>"Transferable Assets"</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exclusive Assets which are capable of legal transfer to the Buyer;</w:t>
            </w:r>
          </w:p>
        </w:tc>
      </w:tr>
      <w:tr w:rsidR="004A21BD">
        <w:tc>
          <w:tcPr>
            <w:tcW w:w="2877" w:type="dxa"/>
            <w:shd w:val="clear" w:color="auto" w:fill="auto"/>
          </w:tcPr>
          <w:p w:rsidR="004A21BD" w:rsidRDefault="00F00477">
            <w:pPr>
              <w:ind w:left="72"/>
              <w:jc w:val="center"/>
              <w:rPr>
                <w:b/>
              </w:rPr>
            </w:pPr>
            <w:r>
              <w:rPr>
                <w:b/>
              </w:rPr>
              <w:t>"Transferable Contracts"</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4A21BD">
        <w:tc>
          <w:tcPr>
            <w:tcW w:w="2877" w:type="dxa"/>
            <w:shd w:val="clear" w:color="auto" w:fill="auto"/>
          </w:tcPr>
          <w:p w:rsidR="004A21BD" w:rsidRDefault="00F00477">
            <w:pPr>
              <w:ind w:left="72"/>
              <w:jc w:val="center"/>
              <w:rPr>
                <w:b/>
              </w:rPr>
            </w:pPr>
            <w:r>
              <w:rPr>
                <w:b/>
              </w:rPr>
              <w:t>"Transferring Assets"</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Paragraph 7.2.1 of Call Off Schedule 10;</w:t>
            </w:r>
          </w:p>
        </w:tc>
      </w:tr>
      <w:tr w:rsidR="004A21BD">
        <w:tc>
          <w:tcPr>
            <w:tcW w:w="2877" w:type="dxa"/>
            <w:shd w:val="clear" w:color="auto" w:fill="auto"/>
          </w:tcPr>
          <w:p w:rsidR="004A21BD" w:rsidRDefault="00F00477">
            <w:pPr>
              <w:ind w:left="72"/>
              <w:jc w:val="center"/>
              <w:rPr>
                <w:b/>
              </w:rPr>
            </w:pPr>
            <w:r>
              <w:rPr>
                <w:b/>
              </w:rPr>
              <w:t>"Transferring Buyer Employees"</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those employees of the Buyer to whom the Employment Regulations will apply on the Relevant Transfer Date and whose names are provided to the Supplier on or prior to the Relevant Transfer Date;</w:t>
            </w:r>
          </w:p>
        </w:tc>
      </w:tr>
      <w:tr w:rsidR="004A21BD">
        <w:tc>
          <w:tcPr>
            <w:tcW w:w="2877" w:type="dxa"/>
            <w:shd w:val="clear" w:color="auto" w:fill="auto"/>
          </w:tcPr>
          <w:p w:rsidR="004A21BD" w:rsidRDefault="00F00477">
            <w:pPr>
              <w:ind w:left="72"/>
              <w:jc w:val="center"/>
              <w:rPr>
                <w:b/>
              </w:rPr>
            </w:pPr>
            <w:r>
              <w:rPr>
                <w:b/>
              </w:rPr>
              <w:t>"Transferring Contracts"</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has</w:t>
            </w:r>
            <w:proofErr w:type="gramEnd"/>
            <w:r>
              <w:rPr>
                <w:color w:val="000000"/>
                <w:sz w:val="22"/>
                <w:szCs w:val="22"/>
              </w:rPr>
              <w:t xml:space="preserve"> the meaning given to it in Paragraph 7.2.3 of Call Off Schedule 10.</w:t>
            </w: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"Transferring Former Supplier Employees"</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in relation to a Former Supplier, those employees of the Former Supplier to whom the Employment Regulations will apply on the Relevant Transfer Date and whose names are </w:t>
            </w:r>
            <w:r>
              <w:rPr>
                <w:color w:val="000000"/>
                <w:sz w:val="22"/>
                <w:szCs w:val="22"/>
              </w:rPr>
              <w:lastRenderedPageBreak/>
              <w:t>provided to the Supplier on or prior to the Relevant Transfer Date.</w:t>
            </w: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"Transferring Supplier Employees"</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those employees of the Supplier and/or the Supplier’s Subcontractors to whom the Employment Regulations will apply on the Service Transfer Date; </w:t>
            </w:r>
          </w:p>
        </w:tc>
      </w:tr>
      <w:tr w:rsidR="004A21BD">
        <w:tc>
          <w:tcPr>
            <w:tcW w:w="2877" w:type="dxa"/>
            <w:shd w:val="clear" w:color="auto" w:fill="auto"/>
            <w:vAlign w:val="center"/>
          </w:tcPr>
          <w:p w:rsidR="004A21BD" w:rsidRDefault="00F00477">
            <w:pPr>
              <w:keepNext/>
              <w:pBdr>
                <w:top w:val="nil"/>
                <w:left w:val="nil"/>
                <w:bottom w:val="nil"/>
                <w:right w:val="nil"/>
                <w:between w:val="nil"/>
              </w:pBdr>
              <w:spacing w:after="120"/>
              <w:ind w:left="-108" w:firstLine="108"/>
              <w:jc w:val="center"/>
              <w:rPr>
                <w:b/>
                <w:color w:val="000000"/>
                <w:sz w:val="22"/>
                <w:szCs w:val="22"/>
              </w:rPr>
            </w:pPr>
            <w:r>
              <w:rPr>
                <w:b/>
                <w:color w:val="000000"/>
                <w:sz w:val="22"/>
                <w:szCs w:val="22"/>
              </w:rPr>
              <w:t>"Transparency Information"</w:t>
            </w:r>
          </w:p>
        </w:tc>
        <w:tc>
          <w:tcPr>
            <w:tcW w:w="6139" w:type="dxa"/>
            <w:shd w:val="clear" w:color="auto" w:fill="auto"/>
            <w:vAlign w:val="center"/>
          </w:tcPr>
          <w:p w:rsidR="004A21BD" w:rsidRDefault="00F00477">
            <w:pPr>
              <w:keepNext/>
              <w:numPr>
                <w:ilvl w:val="0"/>
                <w:numId w:val="4"/>
              </w:numPr>
              <w:pBdr>
                <w:top w:val="nil"/>
                <w:left w:val="nil"/>
                <w:bottom w:val="nil"/>
                <w:right w:val="nil"/>
                <w:between w:val="nil"/>
              </w:pBdr>
              <w:tabs>
                <w:tab w:val="left" w:pos="-9"/>
              </w:tabs>
              <w:spacing w:after="120"/>
              <w:jc w:val="both"/>
              <w:rPr>
                <w:color w:val="000000"/>
              </w:rPr>
            </w:pPr>
            <w:r>
              <w:rPr>
                <w:color w:val="000000"/>
                <w:sz w:val="22"/>
                <w:szCs w:val="22"/>
              </w:rPr>
              <w:t>'the Transparency Reports and the content of a Contract, including any changes to this Contract agreed from time to time, except for – (</w:t>
            </w:r>
            <w:proofErr w:type="spellStart"/>
            <w:r>
              <w:rPr>
                <w:color w:val="000000"/>
                <w:sz w:val="22"/>
                <w:szCs w:val="22"/>
              </w:rPr>
              <w:t>i</w:t>
            </w:r>
            <w:proofErr w:type="spellEnd"/>
            <w:r>
              <w:rPr>
                <w:color w:val="000000"/>
                <w:sz w:val="22"/>
                <w:szCs w:val="22"/>
              </w:rPr>
              <w:t>) any information which is exempt from disclosure in accordance with the provisions of the FOIA, which shall be determined by the Relevant Authority; and (ii) Commercially Sensitive Information</w:t>
            </w:r>
          </w:p>
          <w:p w:rsidR="004A21BD" w:rsidRDefault="004A21BD">
            <w:pPr>
              <w:keepNext/>
              <w:numPr>
                <w:ilvl w:val="0"/>
                <w:numId w:val="4"/>
              </w:numPr>
              <w:pBdr>
                <w:top w:val="nil"/>
                <w:left w:val="nil"/>
                <w:bottom w:val="nil"/>
                <w:right w:val="nil"/>
                <w:between w:val="nil"/>
              </w:pBdr>
              <w:tabs>
                <w:tab w:val="left" w:pos="-9"/>
              </w:tabs>
              <w:spacing w:after="120"/>
              <w:rPr>
                <w:color w:val="000000"/>
              </w:rPr>
            </w:pP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"Transparency Reports"</w:t>
            </w:r>
          </w:p>
        </w:tc>
        <w:tc>
          <w:tcPr>
            <w:tcW w:w="6139" w:type="dxa"/>
            <w:shd w:val="clear" w:color="auto" w:fill="auto"/>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information relating to the Deliverables and performance of the Contracts which the Supplier is required to provide to the Buyer in accordance with the reporting requirements in Call-Off Schedule 1 (Transparency Reports);</w:t>
            </w: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"TUPE Count"</w:t>
            </w:r>
          </w:p>
        </w:tc>
        <w:tc>
          <w:tcPr>
            <w:tcW w:w="6139" w:type="dxa"/>
            <w:shd w:val="clear" w:color="auto" w:fill="auto"/>
            <w:vAlign w:val="center"/>
          </w:tcPr>
          <w:p w:rsidR="004A21BD" w:rsidRDefault="00F00477">
            <w:pPr>
              <w:pBdr>
                <w:top w:val="nil"/>
                <w:left w:val="nil"/>
                <w:bottom w:val="nil"/>
                <w:right w:val="nil"/>
                <w:between w:val="nil"/>
              </w:pBdr>
              <w:tabs>
                <w:tab w:val="left" w:pos="-9"/>
              </w:tabs>
              <w:spacing w:after="120"/>
              <w:ind w:left="170"/>
              <w:rPr>
                <w:color w:val="000000"/>
                <w:sz w:val="22"/>
                <w:szCs w:val="22"/>
              </w:rPr>
            </w:pPr>
            <w:r>
              <w:rPr>
                <w:color w:val="000000"/>
                <w:sz w:val="22"/>
                <w:szCs w:val="22"/>
              </w:rPr>
              <w:t>means the total number of Transferring Former Supplier Employees and/or Transferring Employer Employees identified in the TUPE Information;</w:t>
            </w:r>
          </w:p>
        </w:tc>
      </w:tr>
      <w:tr w:rsidR="004A21BD">
        <w:tc>
          <w:tcPr>
            <w:tcW w:w="2877" w:type="dxa"/>
            <w:shd w:val="clear" w:color="auto" w:fill="auto"/>
          </w:tcPr>
          <w:p w:rsidR="004A21BD" w:rsidRDefault="00F00477">
            <w:pPr>
              <w:ind w:left="72"/>
              <w:jc w:val="center"/>
              <w:rPr>
                <w:b/>
              </w:rPr>
            </w:pPr>
            <w:r>
              <w:rPr>
                <w:b/>
              </w:rPr>
              <w:t>"TUPE Risk Premium"</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means either the:</w:t>
            </w:r>
          </w:p>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a)</w:t>
            </w:r>
            <w:r>
              <w:rPr>
                <w:color w:val="000000"/>
                <w:sz w:val="22"/>
                <w:szCs w:val="22"/>
              </w:rPr>
              <w:tab/>
              <w:t>Further Competition TUPE Risk Premium; or</w:t>
            </w:r>
          </w:p>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b)</w:t>
            </w:r>
            <w:r>
              <w:rPr>
                <w:color w:val="000000"/>
                <w:sz w:val="22"/>
                <w:szCs w:val="22"/>
              </w:rPr>
              <w:tab/>
              <w:t>Fixed Fee TUPE Risk Premium,</w:t>
            </w:r>
          </w:p>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as the context requires;</w:t>
            </w:r>
          </w:p>
        </w:tc>
      </w:tr>
      <w:tr w:rsidR="004A21BD">
        <w:tc>
          <w:tcPr>
            <w:tcW w:w="2877" w:type="dxa"/>
            <w:shd w:val="clear" w:color="auto" w:fill="auto"/>
          </w:tcPr>
          <w:p w:rsidR="004A21BD" w:rsidRDefault="00F00477">
            <w:pPr>
              <w:ind w:left="72"/>
              <w:jc w:val="center"/>
              <w:rPr>
                <w:b/>
              </w:rPr>
            </w:pPr>
            <w:r>
              <w:rPr>
                <w:b/>
              </w:rPr>
              <w:t>"TUPE Risk Premium Adjustment"</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means an adjustment to the Further Competition TUPE Risk Premium;</w:t>
            </w:r>
          </w:p>
        </w:tc>
      </w:tr>
      <w:tr w:rsidR="004A21BD">
        <w:tc>
          <w:tcPr>
            <w:tcW w:w="2877" w:type="dxa"/>
            <w:shd w:val="clear" w:color="auto" w:fill="auto"/>
          </w:tcPr>
          <w:p w:rsidR="004A21BD" w:rsidRDefault="00F00477">
            <w:pPr>
              <w:ind w:left="72"/>
              <w:jc w:val="center"/>
              <w:rPr>
                <w:b/>
              </w:rPr>
            </w:pPr>
            <w:r>
              <w:rPr>
                <w:b/>
              </w:rPr>
              <w:t>"TUPE Risk Premium Average"</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means the average  calculated by dividing the Further Competition TUPE Risk Premium by the lower of either:</w:t>
            </w:r>
          </w:p>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a)</w:t>
            </w:r>
            <w:r>
              <w:rPr>
                <w:color w:val="000000"/>
                <w:sz w:val="22"/>
                <w:szCs w:val="22"/>
              </w:rPr>
              <w:tab/>
              <w:t>Labour Count; or</w:t>
            </w:r>
          </w:p>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b)</w:t>
            </w:r>
            <w:r>
              <w:rPr>
                <w:color w:val="000000"/>
                <w:sz w:val="22"/>
                <w:szCs w:val="22"/>
              </w:rPr>
              <w:tab/>
            </w:r>
            <w:proofErr w:type="gramStart"/>
            <w:r>
              <w:rPr>
                <w:color w:val="000000"/>
                <w:sz w:val="22"/>
                <w:szCs w:val="22"/>
              </w:rPr>
              <w:t>the</w:t>
            </w:r>
            <w:proofErr w:type="gramEnd"/>
            <w:r>
              <w:rPr>
                <w:color w:val="000000"/>
                <w:sz w:val="22"/>
                <w:szCs w:val="22"/>
              </w:rPr>
              <w:t xml:space="preserve"> TUPE Count.</w:t>
            </w:r>
          </w:p>
        </w:tc>
      </w:tr>
      <w:tr w:rsidR="004A21BD">
        <w:tc>
          <w:tcPr>
            <w:tcW w:w="2877" w:type="dxa"/>
            <w:shd w:val="clear" w:color="auto" w:fill="auto"/>
          </w:tcPr>
          <w:p w:rsidR="004A21BD" w:rsidRDefault="00F00477">
            <w:pPr>
              <w:ind w:left="72"/>
              <w:jc w:val="center"/>
              <w:rPr>
                <w:b/>
              </w:rPr>
            </w:pPr>
            <w:r>
              <w:rPr>
                <w:b/>
              </w:rPr>
              <w:t>UOM</w:t>
            </w:r>
          </w:p>
        </w:tc>
        <w:tc>
          <w:tcPr>
            <w:tcW w:w="6139" w:type="dxa"/>
            <w:shd w:val="clear" w:color="auto" w:fill="auto"/>
          </w:tcPr>
          <w:p w:rsidR="004A21BD" w:rsidRDefault="00F00477">
            <w:pPr>
              <w:numPr>
                <w:ilvl w:val="0"/>
                <w:numId w:val="4"/>
              </w:numPr>
              <w:pBdr>
                <w:top w:val="nil"/>
                <w:left w:val="nil"/>
                <w:bottom w:val="nil"/>
                <w:right w:val="nil"/>
                <w:between w:val="nil"/>
              </w:pBdr>
              <w:tabs>
                <w:tab w:val="left" w:pos="175"/>
              </w:tabs>
              <w:spacing w:after="120"/>
              <w:rPr>
                <w:color w:val="000000"/>
              </w:rPr>
            </w:pPr>
            <w:r>
              <w:rPr>
                <w:color w:val="000000"/>
                <w:sz w:val="22"/>
                <w:szCs w:val="22"/>
              </w:rPr>
              <w:t>the applicable unit of measure as defined in Framework Schedule F3 – Framework Prices</w:t>
            </w:r>
          </w:p>
        </w:tc>
      </w:tr>
      <w:tr w:rsidR="004A21BD">
        <w:tc>
          <w:tcPr>
            <w:tcW w:w="2877" w:type="dxa"/>
            <w:shd w:val="clear" w:color="auto" w:fill="auto"/>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"US-EU Privacy Shield Register"</w:t>
            </w:r>
          </w:p>
        </w:tc>
        <w:tc>
          <w:tcPr>
            <w:tcW w:w="6139" w:type="dxa"/>
            <w:shd w:val="clear" w:color="auto" w:fill="auto"/>
            <w:vAlign w:val="center"/>
          </w:tcPr>
          <w:p w:rsidR="004A21BD" w:rsidRDefault="00F00477">
            <w:pPr>
              <w:pBdr>
                <w:top w:val="nil"/>
                <w:left w:val="nil"/>
                <w:bottom w:val="nil"/>
                <w:right w:val="nil"/>
                <w:between w:val="nil"/>
              </w:pBdr>
              <w:tabs>
                <w:tab w:val="left" w:pos="-9"/>
              </w:tabs>
              <w:spacing w:after="120"/>
              <w:ind w:left="170"/>
              <w:rPr>
                <w:color w:val="000000"/>
                <w:sz w:val="22"/>
                <w:szCs w:val="22"/>
              </w:rPr>
            </w:pPr>
            <w:r>
              <w:rPr>
                <w:color w:val="000000"/>
                <w:sz w:val="22"/>
                <w:szCs w:val="22"/>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8">
              <w:r>
                <w:rPr>
                  <w:color w:val="0000FF"/>
                  <w:sz w:val="22"/>
                  <w:szCs w:val="22"/>
                  <w:u w:val="single"/>
                </w:rPr>
                <w:t>https://www.privacyshield.gov/list</w:t>
              </w:r>
            </w:hyperlink>
            <w:r>
              <w:rPr>
                <w:color w:val="000000"/>
                <w:sz w:val="22"/>
                <w:szCs w:val="22"/>
              </w:rPr>
              <w:t xml:space="preserve">; </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"Variation"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Core Terms clause 24 (Changing the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"Variation Form"</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form set out in Joint Schedule 2 (Variation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lastRenderedPageBreak/>
              <w:t>"Variation Procedure"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the procedure set out in Core Terms clause 24 (Changing the contract);</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"Variation Threshold"</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value set out in the Order Form;</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"VAT"</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value added tax in accordance with the provisions of the Value Added Tax Act 1994;</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“Void Preparation”</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activities and works associated with maintaining the Buyer’s standards within vacant Buyer’s Premises in readiness for occupation;</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“Waste Hierarchy”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has the meaning given to it in the Waste (England and Wales) Regulations 2011, as amended from time to time;</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“Works Arising from Planned Maintenance”</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means</w:t>
            </w:r>
            <w:proofErr w:type="gramEnd"/>
            <w:r>
              <w:rPr>
                <w:color w:val="000000"/>
                <w:sz w:val="22"/>
                <w:szCs w:val="22"/>
              </w:rPr>
              <w:t xml:space="preserve"> Reactive Maintenance Works identified by either the Supplier or Buyer which are required to be completed. These works may be identified during Planned Maintenance activities, building fabric inspections, audits or other non-reactive activities.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"Worker"</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"Working Day"</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any</w:t>
            </w:r>
            <w:proofErr w:type="gramEnd"/>
            <w:r>
              <w:rPr>
                <w:color w:val="000000"/>
                <w:sz w:val="22"/>
                <w:szCs w:val="22"/>
              </w:rPr>
              <w:t xml:space="preserve"> day other than a Saturday or Sunday or public holiday in England and Wales unless specified otherwise by the Parties in the Order Form.</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“Working Hours”</w:t>
            </w:r>
          </w:p>
        </w:tc>
        <w:tc>
          <w:tcPr>
            <w:tcW w:w="6139" w:type="dxa"/>
            <w:vAlign w:val="center"/>
          </w:tcPr>
          <w:p w:rsidR="004A21BD" w:rsidRDefault="00F00477">
            <w:pPr>
              <w:numPr>
                <w:ilvl w:val="0"/>
                <w:numId w:val="4"/>
              </w:numPr>
              <w:pBdr>
                <w:top w:val="nil"/>
                <w:left w:val="nil"/>
                <w:bottom w:val="nil"/>
                <w:right w:val="nil"/>
                <w:between w:val="nil"/>
              </w:pBdr>
              <w:tabs>
                <w:tab w:val="left" w:pos="-9"/>
              </w:tabs>
              <w:spacing w:after="120"/>
              <w:rPr>
                <w:color w:val="000000"/>
              </w:rPr>
            </w:pPr>
            <w:proofErr w:type="gramStart"/>
            <w:r>
              <w:rPr>
                <w:color w:val="000000"/>
                <w:sz w:val="22"/>
                <w:szCs w:val="22"/>
              </w:rPr>
              <w:t>standard</w:t>
            </w:r>
            <w:proofErr w:type="gramEnd"/>
            <w:r>
              <w:rPr>
                <w:color w:val="000000"/>
                <w:sz w:val="22"/>
                <w:szCs w:val="22"/>
              </w:rPr>
              <w:t xml:space="preserve"> hours of business of the Buyer at each Buyer Premises as defined by the Buyer at Further Competition. </w:t>
            </w:r>
          </w:p>
          <w:p w:rsidR="004A21BD" w:rsidRDefault="00F00477">
            <w:pPr>
              <w:numPr>
                <w:ilvl w:val="0"/>
                <w:numId w:val="4"/>
              </w:numPr>
              <w:pBdr>
                <w:top w:val="nil"/>
                <w:left w:val="nil"/>
                <w:bottom w:val="nil"/>
                <w:right w:val="nil"/>
                <w:between w:val="nil"/>
              </w:pBdr>
              <w:tabs>
                <w:tab w:val="left" w:pos="-9"/>
              </w:tabs>
              <w:spacing w:after="120"/>
              <w:rPr>
                <w:color w:val="000000"/>
              </w:rPr>
            </w:pPr>
            <w:r>
              <w:rPr>
                <w:color w:val="000000"/>
                <w:sz w:val="22"/>
                <w:szCs w:val="22"/>
              </w:rPr>
              <w:t>“</w:t>
            </w:r>
            <w:r>
              <w:rPr>
                <w:b/>
                <w:color w:val="000000"/>
                <w:sz w:val="22"/>
                <w:szCs w:val="22"/>
              </w:rPr>
              <w:t>Operational Working Hours</w:t>
            </w:r>
            <w:r>
              <w:rPr>
                <w:color w:val="000000"/>
                <w:sz w:val="22"/>
                <w:szCs w:val="22"/>
              </w:rPr>
              <w:t>” shall be construed accordingly.</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rFonts w:ascii="Arial" w:eastAsia="Arial" w:hAnsi="Arial" w:cs="Arial"/>
                <w:b/>
                <w:color w:val="000000"/>
                <w:sz w:val="22"/>
                <w:szCs w:val="22"/>
              </w:rPr>
            </w:pPr>
            <w:r>
              <w:rPr>
                <w:b/>
                <w:color w:val="000000"/>
                <w:sz w:val="22"/>
                <w:szCs w:val="22"/>
              </w:rPr>
              <w:t>"Work Order"</w:t>
            </w:r>
          </w:p>
        </w:tc>
        <w:tc>
          <w:tcPr>
            <w:tcW w:w="6139" w:type="dxa"/>
            <w:vAlign w:val="center"/>
          </w:tcPr>
          <w:p w:rsidR="004A21BD" w:rsidRDefault="00F00477">
            <w:pPr>
              <w:spacing w:before="120" w:after="120"/>
              <w:ind w:left="163"/>
            </w:pPr>
            <w:proofErr w:type="gramStart"/>
            <w:r>
              <w:t>means</w:t>
            </w:r>
            <w:proofErr w:type="gramEnd"/>
            <w:r>
              <w:t xml:space="preserve"> a written instruction by the Buyer to carry out Billable Works.</w:t>
            </w:r>
          </w:p>
        </w:tc>
      </w:tr>
      <w:tr w:rsidR="004A21BD">
        <w:tc>
          <w:tcPr>
            <w:tcW w:w="2877" w:type="dxa"/>
            <w:vAlign w:val="center"/>
          </w:tcPr>
          <w:p w:rsidR="004A21BD" w:rsidRDefault="00F00477">
            <w:pPr>
              <w:pBdr>
                <w:top w:val="nil"/>
                <w:left w:val="nil"/>
                <w:bottom w:val="nil"/>
                <w:right w:val="nil"/>
                <w:between w:val="nil"/>
              </w:pBdr>
              <w:spacing w:after="120"/>
              <w:ind w:left="-108" w:firstLine="108"/>
              <w:jc w:val="center"/>
              <w:rPr>
                <w:b/>
                <w:color w:val="000000"/>
                <w:sz w:val="22"/>
                <w:szCs w:val="22"/>
              </w:rPr>
            </w:pPr>
            <w:r>
              <w:rPr>
                <w:b/>
                <w:color w:val="000000"/>
                <w:sz w:val="22"/>
                <w:szCs w:val="22"/>
              </w:rPr>
              <w:t>“Work Package”</w:t>
            </w:r>
          </w:p>
        </w:tc>
        <w:tc>
          <w:tcPr>
            <w:tcW w:w="6139" w:type="dxa"/>
            <w:vAlign w:val="center"/>
          </w:tcPr>
          <w:p w:rsidR="004A21BD" w:rsidRDefault="00F00477">
            <w:pPr>
              <w:spacing w:before="120" w:after="120"/>
              <w:ind w:left="163"/>
            </w:pPr>
            <w:r>
              <w:t>a group of Services as defined in Framework Schedule 1 - Specification</w:t>
            </w:r>
          </w:p>
        </w:tc>
      </w:tr>
    </w:tbl>
    <w:p w:rsidR="004A21BD" w:rsidRDefault="00F00477">
      <w:pPr>
        <w:keepNext/>
        <w:numPr>
          <w:ilvl w:val="0"/>
          <w:numId w:val="1"/>
        </w:numPr>
        <w:pBdr>
          <w:top w:val="nil"/>
          <w:left w:val="nil"/>
          <w:bottom w:val="nil"/>
          <w:right w:val="nil"/>
          <w:between w:val="nil"/>
        </w:pBdr>
        <w:tabs>
          <w:tab w:val="left" w:pos="1134"/>
        </w:tabs>
        <w:spacing w:before="120" w:after="120" w:line="240" w:lineRule="auto"/>
        <w:ind w:left="1134" w:hanging="567"/>
        <w:jc w:val="both"/>
        <w:rPr>
          <w:color w:val="000000"/>
        </w:rPr>
      </w:pPr>
      <w:r>
        <w:rPr>
          <w:color w:val="000000"/>
        </w:rPr>
        <w:t xml:space="preserve"> </w:t>
      </w:r>
    </w:p>
    <w:sectPr w:rsidR="004A21B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5DD" w:rsidRDefault="00E015DD">
      <w:pPr>
        <w:spacing w:after="0" w:line="240" w:lineRule="auto"/>
      </w:pPr>
      <w:r>
        <w:separator/>
      </w:r>
    </w:p>
  </w:endnote>
  <w:endnote w:type="continuationSeparator" w:id="0">
    <w:p w:rsidR="00E015DD" w:rsidRDefault="00E01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docs-Calibr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D" w:rsidRDefault="004A21B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D" w:rsidRDefault="004A21BD">
    <w:pPr>
      <w:tabs>
        <w:tab w:val="center" w:pos="4513"/>
        <w:tab w:val="right" w:pos="9026"/>
      </w:tabs>
      <w:spacing w:after="0" w:line="240" w:lineRule="auto"/>
      <w:jc w:val="both"/>
    </w:pPr>
  </w:p>
  <w:p w:rsidR="004A21BD" w:rsidRDefault="00F00477">
    <w:pPr>
      <w:tabs>
        <w:tab w:val="center" w:pos="4513"/>
        <w:tab w:val="right" w:pos="9026"/>
      </w:tabs>
      <w:spacing w:after="0" w:line="240" w:lineRule="auto"/>
      <w:jc w:val="both"/>
    </w:pPr>
    <w:r>
      <w:t>Ref: RM6089</w:t>
    </w:r>
  </w:p>
  <w:p w:rsidR="004A21BD" w:rsidRDefault="00F00477">
    <w:pPr>
      <w:spacing w:after="0" w:line="240" w:lineRule="auto"/>
      <w:jc w:val="both"/>
    </w:pPr>
    <w:r>
      <w:t xml:space="preserve">Final </w:t>
    </w:r>
    <w:r>
      <w:t>v</w:t>
    </w:r>
    <w:r w:rsidR="006805DB">
      <w:t>2</w:t>
    </w:r>
    <w:bookmarkStart w:id="2" w:name="_GoBack"/>
    <w:bookmarkEnd w:id="2"/>
    <w:r>
      <w:t>.0</w:t>
    </w: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D" w:rsidRDefault="004A21B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5DD" w:rsidRDefault="00E015DD">
      <w:pPr>
        <w:spacing w:after="0" w:line="240" w:lineRule="auto"/>
      </w:pPr>
      <w:r>
        <w:separator/>
      </w:r>
    </w:p>
  </w:footnote>
  <w:footnote w:type="continuationSeparator" w:id="0">
    <w:p w:rsidR="00E015DD" w:rsidRDefault="00E01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D" w:rsidRDefault="004A21B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D" w:rsidRDefault="00F00477">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1 (Definitions) Final v</w:t>
    </w:r>
    <w:r w:rsidR="006805DB">
      <w:rPr>
        <w:b/>
        <w:color w:val="000000"/>
      </w:rPr>
      <w:t>2</w:t>
    </w:r>
    <w:r>
      <w:rPr>
        <w:b/>
        <w:color w:val="000000"/>
      </w:rPr>
      <w:t>.0</w:t>
    </w:r>
  </w:p>
  <w:p w:rsidR="004A21BD" w:rsidRDefault="00F00477">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r>
      <w:rPr>
        <w:noProof/>
      </w:rPr>
      <w:drawing>
        <wp:anchor distT="0" distB="0" distL="114300" distR="114300" simplePos="0" relativeHeight="251658240" behindDoc="0" locked="0" layoutInCell="1" hidden="0" allowOverlap="1">
          <wp:simplePos x="0" y="0"/>
          <wp:positionH relativeFrom="margin">
            <wp:posOffset>5562510</wp:posOffset>
          </wp:positionH>
          <wp:positionV relativeFrom="paragraph">
            <wp:posOffset>-166006</wp:posOffset>
          </wp:positionV>
          <wp:extent cx="849085" cy="685627"/>
          <wp:effectExtent l="0" t="0" r="0" b="0"/>
          <wp:wrapNone/>
          <wp:docPr id="1"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p w:rsidR="004A21BD" w:rsidRDefault="004A21BD">
    <w:pPr>
      <w:pBdr>
        <w:top w:val="nil"/>
        <w:left w:val="nil"/>
        <w:bottom w:val="nil"/>
        <w:right w:val="nil"/>
        <w:between w:val="nil"/>
      </w:pBdr>
      <w:tabs>
        <w:tab w:val="center" w:pos="4513"/>
        <w:tab w:val="right" w:pos="9026"/>
      </w:tabs>
      <w:spacing w:after="0" w:line="240" w:lineRule="auto"/>
      <w:rPr>
        <w:color w:val="000000"/>
      </w:rPr>
    </w:pPr>
  </w:p>
  <w:p w:rsidR="004A21BD" w:rsidRDefault="004A21BD">
    <w:pPr>
      <w:pBdr>
        <w:top w:val="nil"/>
        <w:left w:val="nil"/>
        <w:bottom w:val="nil"/>
        <w:right w:val="nil"/>
        <w:between w:val="nil"/>
      </w:pBdr>
      <w:tabs>
        <w:tab w:val="center" w:pos="4513"/>
        <w:tab w:val="right" w:pos="9026"/>
      </w:tabs>
      <w:spacing w:after="0" w:line="240" w:lineRule="auto"/>
      <w:rPr>
        <w:color w:val="000000"/>
      </w:rPr>
    </w:pPr>
  </w:p>
  <w:p w:rsidR="004A21BD" w:rsidRDefault="004A21BD">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D" w:rsidRDefault="004A21B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17508"/>
    <w:multiLevelType w:val="multilevel"/>
    <w:tmpl w:val="E60E653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3742209B"/>
    <w:multiLevelType w:val="multilevel"/>
    <w:tmpl w:val="3674649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4C813639"/>
    <w:multiLevelType w:val="multilevel"/>
    <w:tmpl w:val="AB2887D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DEB6684"/>
    <w:multiLevelType w:val="multilevel"/>
    <w:tmpl w:val="20A015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1BD"/>
    <w:rsid w:val="00382584"/>
    <w:rsid w:val="004A21BD"/>
    <w:rsid w:val="006111AA"/>
    <w:rsid w:val="006805DB"/>
    <w:rsid w:val="00B9479D"/>
    <w:rsid w:val="00E015DD"/>
    <w:rsid w:val="00F004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29D1"/>
  <w15:docId w15:val="{DAAD9F18-F12E-4F0A-A79A-385B29FB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privacyshield.gov/lis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13110</Words>
  <Characters>74730</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2</cp:revision>
  <dcterms:created xsi:type="dcterms:W3CDTF">2018-10-11T14:00:00Z</dcterms:created>
  <dcterms:modified xsi:type="dcterms:W3CDTF">2018-10-11T14:00:00Z</dcterms:modified>
</cp:coreProperties>
</file>